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354" w:line="259" w:lineRule="auto"/>
        <w:ind w:left="0" w:right="5" w:firstLine="0"/>
        <w:jc w:val="center"/>
      </w:pPr>
      <w:r>
        <w:rPr>
          <w:rFonts w:ascii="宋体" w:hAnsi="宋体" w:eastAsia="宋体" w:cs="宋体"/>
          <w:sz w:val="44"/>
        </w:rPr>
        <w:t>提请减刑建议书</w:t>
      </w:r>
    </w:p>
    <w:p>
      <w:pPr>
        <w:spacing w:after="0" w:line="356" w:lineRule="auto"/>
        <w:ind w:left="11" w:hanging="11"/>
        <w:jc w:val="right"/>
      </w:pPr>
      <w:r>
        <w:rPr>
          <w:rFonts w:hint="eastAsia"/>
        </w:rPr>
        <w:t>鲁临狱减建字〔2023〕第</w:t>
      </w:r>
      <w:r>
        <w:rPr>
          <w:rFonts w:hint="eastAsia"/>
          <w:lang w:val="en-US" w:eastAsia="zh-CN"/>
        </w:rPr>
        <w:t>435</w:t>
      </w:r>
      <w:r>
        <w:rPr>
          <w:rFonts w:hint="eastAsia"/>
        </w:rPr>
        <w:t>号</w:t>
      </w:r>
    </w:p>
    <w:p>
      <w:pPr>
        <w:widowControl w:val="0"/>
        <w:spacing w:after="0" w:line="500" w:lineRule="exact"/>
        <w:ind w:left="0" w:firstLine="640" w:firstLineChars="200"/>
        <w:jc w:val="both"/>
        <w:rPr>
          <w:rFonts w:hint="eastAsia" w:hAnsi="宋体" w:cs="Times New Roman"/>
          <w:bCs/>
          <w:color w:val="auto"/>
          <w:szCs w:val="32"/>
        </w:rPr>
      </w:pPr>
      <w:r>
        <w:rPr>
          <w:rFonts w:hint="eastAsia" w:hAnsi="宋体" w:cs="Times New Roman"/>
          <w:bCs/>
          <w:color w:val="auto"/>
          <w:szCs w:val="32"/>
        </w:rPr>
        <w:t>罪犯宋学奎，男，1960年2月18日出生于山东省郯城县，汉族，小学文化，农民，住郯城县庙山镇宋家村。2006年11月7日因寻衅滋事罪被临沂市河东区人民法院判处有期徒刑二年，缓刑三年。山东省临沂市中级人民法院于2009年3月15日作出(2008)临刑一初字第56号刑事附带民事判决：一、撤销临沂市河东区人民法院（2006）河刑初字第263号刑事判决中以被告人宋学奎犯寻衅滋事罪，对其判处有期徒刑二年，缓刑三年的缓刑部分。二、以罪犯宋学奎犯故意杀人罪，判处死刑，剥夺政治权利终身，与原判有期徒刑二年并罚，决定执行死刑，剥夺政治权利终身。五、被告人宋学奎、王思华赔偿附带民事诉讼原告人董光祥、吴修兰、董鹏程各项经济损失共计人民币99684.1元，二人互负连带责任。一审宣判后，该犯不服提出上诉。山东省高级人民法院于2009年10月23日作出(2009)鲁刑一终字第85号刑事判决：一、维持被告人宋学奎、王思华赔偿附带民事诉讼原告人董光祥、吴修兰、董鹏程各项经济损失共计99684.1元，二人互负连带责任。二、撤销临沂市中级人民法院(2008)临刑一初字第56号刑事附带民事判决第二项中对被告人宋学奎的量刑部分，即判处被告人宋学奎死刑，剥夺政治权利终身。三、以罪犯宋学奎犯故意杀人罪，判处死刑，缓期二年执行，剥夺政治权利终身，与原判有期徒刑二年并罚，决定执行死刑缓期二年执行，剥夺政治权利终身。死刑缓期二年执行自2009年10月23日起至2011年10月22日止。于2010年5月5日送监狱服刑改造。服刑期间执行刑期变动情况：2012年2月27日经山东省高级人民法院减为无期徒刑；2014年3月24日经山东省高级人民法院减为有期徒刑十八年六个月；2016年8月11日经山东省临沂市中级人民法院减刑十一个月；2018年12月7日经山东省临沂市中级人民法院减刑七个月；2021年2月5日经山东省临沂市中级人民法院减刑七个月,刑期自2014年3月24日起至2030年8月23日止。</w:t>
      </w:r>
    </w:p>
    <w:p>
      <w:pPr>
        <w:widowControl w:val="0"/>
        <w:spacing w:after="0" w:line="500" w:lineRule="exact"/>
        <w:ind w:left="0" w:firstLine="640" w:firstLineChars="200"/>
        <w:jc w:val="both"/>
        <w:rPr>
          <w:rFonts w:hint="eastAsia" w:hAnsi="宋体" w:cs="Times New Roman"/>
          <w:bCs/>
          <w:color w:val="auto"/>
          <w:szCs w:val="32"/>
        </w:rPr>
      </w:pPr>
      <w:r>
        <w:rPr>
          <w:rFonts w:hint="eastAsia" w:hAnsi="宋体" w:cs="Times New Roman"/>
          <w:bCs/>
          <w:color w:val="auto"/>
          <w:szCs w:val="32"/>
        </w:rPr>
        <w:t>该犯在近期悔改表现如下：</w:t>
      </w:r>
    </w:p>
    <w:p>
      <w:pPr>
        <w:widowControl w:val="0"/>
        <w:spacing w:after="0" w:line="500" w:lineRule="exact"/>
        <w:ind w:left="0" w:firstLine="640" w:firstLineChars="200"/>
        <w:jc w:val="both"/>
        <w:rPr>
          <w:rFonts w:hint="eastAsia" w:hAnsi="宋体" w:cs="Times New Roman"/>
          <w:bCs/>
          <w:color w:val="auto"/>
          <w:szCs w:val="32"/>
        </w:rPr>
      </w:pPr>
      <w:r>
        <w:rPr>
          <w:rFonts w:hint="eastAsia" w:hAnsi="宋体" w:cs="Times New Roman"/>
          <w:bCs/>
          <w:color w:val="auto"/>
          <w:szCs w:val="32"/>
        </w:rPr>
        <w:t>该犯自服刑以来，能够认罪悔罪，服从判决，其在《认罪悔罪书》中写到“我深刻的认识到自己所犯罪行为的重要性不但给被害人和其家人带来了灾难性的伤害同时也给社会造成了恶劣的影响，我深刻反省自己悔恨自己当时的无知和冲动，我认同人民法院对我的公正判决”。</w:t>
      </w:r>
    </w:p>
    <w:p>
      <w:pPr>
        <w:widowControl w:val="0"/>
        <w:spacing w:after="0" w:line="500" w:lineRule="exact"/>
        <w:ind w:left="0" w:firstLine="640" w:firstLineChars="200"/>
        <w:jc w:val="both"/>
        <w:rPr>
          <w:rFonts w:hint="eastAsia" w:hAnsi="宋体" w:cs="Times New Roman"/>
          <w:bCs/>
          <w:color w:val="auto"/>
          <w:szCs w:val="32"/>
        </w:rPr>
      </w:pPr>
      <w:r>
        <w:rPr>
          <w:rFonts w:hint="eastAsia" w:hAnsi="宋体" w:cs="Times New Roman"/>
          <w:bCs/>
          <w:color w:val="auto"/>
          <w:szCs w:val="32"/>
        </w:rPr>
        <w:t>服刑期间，该犯能够服从管理，遵守法律法规及监规纪律，能够用《监狱服刑人员行为规范》约束自己的言行。2022年7月18日凌晨5点08分，该犯在监舍内违反作息、洗漱制度，不按规定就寝，7月19日被扣罚考核分2分，经批评教育，能够认识到自己的问题，并努力改正。</w:t>
      </w:r>
    </w:p>
    <w:p>
      <w:pPr>
        <w:widowControl w:val="0"/>
        <w:spacing w:after="0" w:line="500" w:lineRule="exact"/>
        <w:ind w:left="0" w:firstLine="640" w:firstLineChars="200"/>
        <w:jc w:val="both"/>
        <w:rPr>
          <w:rFonts w:hint="eastAsia" w:hAnsi="宋体" w:cs="Times New Roman"/>
          <w:bCs/>
          <w:color w:val="auto"/>
          <w:szCs w:val="32"/>
        </w:rPr>
      </w:pPr>
      <w:r>
        <w:rPr>
          <w:rFonts w:hint="eastAsia" w:hAnsi="宋体" w:cs="Times New Roman"/>
          <w:bCs/>
          <w:color w:val="auto"/>
          <w:szCs w:val="32"/>
        </w:rPr>
        <w:t>该犯能够参加思想、文化、职业技术教育，遵守课堂纪律，努力完成学习任务。2023年5月18日该犯在监狱2023年一季度组织的百日安全活动中，抽查规范考试不合格，被扣罚考核分5分，经批评教育，能够认识到自己的问题，并积极改正。</w:t>
      </w:r>
    </w:p>
    <w:p>
      <w:pPr>
        <w:widowControl w:val="0"/>
        <w:spacing w:after="0" w:line="500" w:lineRule="exact"/>
        <w:ind w:left="0" w:firstLine="640" w:firstLineChars="200"/>
        <w:jc w:val="both"/>
        <w:rPr>
          <w:rFonts w:hint="eastAsia" w:hAnsi="宋体" w:cs="Times New Roman"/>
          <w:bCs/>
          <w:color w:val="auto"/>
          <w:szCs w:val="32"/>
        </w:rPr>
      </w:pPr>
      <w:r>
        <w:rPr>
          <w:rFonts w:hint="eastAsia" w:hAnsi="宋体" w:cs="Times New Roman"/>
          <w:bCs/>
          <w:color w:val="auto"/>
          <w:szCs w:val="32"/>
        </w:rPr>
        <w:t>劳动中，该犯能够参加劳动，遵守各项规章制度，保持劳动现场卫生整洁，努力完成各项改造任务，2021年11月19日在车间工具检查中发现，该犯违反机针管理规定，没有及时核对机针发放与回收数量，致使机针发放数量与回收旧机针数量不符，扣罚1分，经批评教育，能够认识到自己的问题，并努力改正。2022年3月10日，该犯在爬服生产过程中，出现质量问题，返修1000余件，情节较重，扣罚5分，经批评教育，能够认识到自己的问题，并努力改正。2023年3月9日，该犯完不成生产任务，影响班组生产进度，扣罚3分，经批评教育，能够认识到自己的问题，并努力改正。</w:t>
      </w:r>
    </w:p>
    <w:p>
      <w:pPr>
        <w:widowControl w:val="0"/>
        <w:spacing w:after="0" w:line="500" w:lineRule="exact"/>
        <w:ind w:left="0" w:firstLine="640" w:firstLineChars="200"/>
        <w:jc w:val="both"/>
        <w:rPr>
          <w:rFonts w:hint="eastAsia" w:hAnsi="宋体" w:cs="Times New Roman"/>
          <w:bCs/>
          <w:color w:val="auto"/>
          <w:szCs w:val="32"/>
        </w:rPr>
      </w:pPr>
      <w:r>
        <w:rPr>
          <w:rFonts w:hint="eastAsia" w:hAnsi="宋体" w:cs="Times New Roman"/>
          <w:bCs/>
          <w:color w:val="auto"/>
          <w:szCs w:val="32"/>
        </w:rPr>
        <w:t>综上所述，该犯在服刑期间，认罪悔罪，服从管理，遵守监规纪律，接受教育改造，按时参加思想、文化、职业技术学习和各项劳动，完成劳动任务，截止到2023年8月份，该犯考核积分3780.5分，获得表扬六次。该犯财产性判项已全部履行，有山东省高级人民法院刑事判决书第18页第5-6行，及山东省临沂监狱刑罚执行科《罪犯宋学奎财产性判项履行情况说明》证明。该犯数罪并罚被判处死刑缓期二年执行，从严一个月；该犯因故意杀人罪被判处死刑缓期二年执行，故意杀人主观恶性大，人身危险性较大，罪行极其严重，从严三个月，共从严四个月。综合考察该犯确有悔改表现。</w:t>
      </w:r>
    </w:p>
    <w:p>
      <w:pPr>
        <w:widowControl w:val="0"/>
        <w:spacing w:after="0" w:line="500" w:lineRule="exact"/>
        <w:ind w:left="0" w:firstLine="640" w:firstLineChars="200"/>
        <w:jc w:val="both"/>
        <w:rPr>
          <w:rFonts w:hint="eastAsia" w:hAnsi="宋体" w:cs="Times New Roman"/>
          <w:bCs/>
          <w:color w:val="auto"/>
          <w:szCs w:val="32"/>
        </w:rPr>
      </w:pPr>
      <w:bookmarkStart w:id="0" w:name="_GoBack"/>
      <w:bookmarkEnd w:id="0"/>
      <w:r>
        <w:rPr>
          <w:rFonts w:hint="eastAsia" w:hAnsi="宋体" w:cs="Times New Roman"/>
          <w:bCs/>
          <w:color w:val="auto"/>
          <w:szCs w:val="32"/>
        </w:rPr>
        <w:t>为此，根据《中华人民共和国刑法》第七十八条、第七十九条，《中华人民共和国刑事诉讼法》第二百七十三条第二款，《中华人民共和国监狱法》第二十九条的规定，建议对罪犯宋学奎予以减刑五个月，剥夺政治权利五年不变。特提请裁定。</w:t>
      </w:r>
    </w:p>
    <w:p>
      <w:pPr>
        <w:widowControl w:val="0"/>
        <w:spacing w:after="0" w:line="500" w:lineRule="exact"/>
        <w:ind w:left="0" w:firstLine="640" w:firstLineChars="200"/>
        <w:jc w:val="both"/>
        <w:rPr>
          <w:rFonts w:hAnsi="宋体" w:cs="Times New Roman"/>
          <w:bCs/>
          <w:color w:val="auto"/>
          <w:szCs w:val="32"/>
        </w:rPr>
      </w:pPr>
      <w:r>
        <w:rPr>
          <w:rFonts w:hint="eastAsia" w:hAnsi="宋体" w:cs="Times New Roman"/>
          <w:bCs/>
          <w:color w:val="auto"/>
          <w:szCs w:val="32"/>
        </w:rPr>
        <w:t>此致</w:t>
      </w:r>
    </w:p>
    <w:p>
      <w:pPr>
        <w:widowControl w:val="0"/>
        <w:spacing w:after="0" w:line="500" w:lineRule="exact"/>
        <w:jc w:val="both"/>
        <w:rPr>
          <w:rFonts w:hAnsi="宋体" w:cs="Times New Roman"/>
          <w:bCs/>
          <w:color w:val="auto"/>
          <w:szCs w:val="32"/>
        </w:rPr>
      </w:pPr>
      <w:r>
        <w:rPr>
          <w:rFonts w:hint="eastAsia" w:hAnsi="宋体" w:cs="Times New Roman"/>
          <w:bCs/>
          <w:color w:val="auto"/>
          <w:szCs w:val="32"/>
        </w:rPr>
        <w:t>临沂市中级人民法院</w:t>
      </w:r>
    </w:p>
    <w:p>
      <w:pPr>
        <w:widowControl w:val="0"/>
        <w:spacing w:after="0" w:line="500" w:lineRule="exact"/>
        <w:ind w:left="0" w:firstLine="640" w:firstLineChars="200"/>
        <w:jc w:val="both"/>
        <w:rPr>
          <w:rFonts w:hAnsi="宋体" w:cs="Times New Roman"/>
          <w:bCs/>
          <w:color w:val="auto"/>
          <w:szCs w:val="32"/>
        </w:rPr>
      </w:pPr>
    </w:p>
    <w:p>
      <w:pPr>
        <w:spacing w:line="259" w:lineRule="auto"/>
        <w:ind w:left="5922"/>
      </w:pPr>
      <w:r>
        <w:t>（监狱公章）</w:t>
      </w:r>
    </w:p>
    <w:p>
      <w:pPr>
        <w:spacing w:line="259" w:lineRule="auto"/>
        <w:jc w:val="right"/>
      </w:pPr>
      <w:r>
        <w:rPr>
          <w:rFonts w:hint="eastAsia"/>
        </w:rPr>
        <w:t>年    月     日</w:t>
      </w:r>
    </w:p>
    <w:p/>
    <w:p>
      <w:r>
        <w:t>附:罪犯</w:t>
      </w:r>
      <w:r>
        <w:rPr>
          <w:rFonts w:hint="eastAsia" w:hAnsi="宋体" w:cs="Times New Roman"/>
          <w:bCs/>
          <w:color w:val="auto"/>
          <w:szCs w:val="32"/>
        </w:rPr>
        <w:t>宋学奎</w:t>
      </w:r>
      <w:r>
        <w:t>卷宗材料共</w:t>
      </w:r>
      <w:r>
        <w:rPr>
          <w:rFonts w:hint="eastAsia"/>
        </w:rPr>
        <w:t>1</w:t>
      </w:r>
      <w:r>
        <w:t>卷</w:t>
      </w:r>
      <w:r>
        <w:rPr>
          <w:rFonts w:hint="eastAsia"/>
          <w:lang w:val="en-US" w:eastAsia="zh-CN"/>
        </w:rPr>
        <w:t>5</w:t>
      </w:r>
      <w:r>
        <w:t>册</w:t>
      </w:r>
      <w:r>
        <w:rPr>
          <w:rFonts w:hint="eastAsia"/>
          <w:lang w:val="en-US" w:eastAsia="zh-CN"/>
        </w:rPr>
        <w:t>238</w:t>
      </w:r>
      <w:r>
        <w:t>页</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55" w:lineRule="auto"/>
      </w:pPr>
      <w:r>
        <w:separator/>
      </w:r>
    </w:p>
  </w:footnote>
  <w:footnote w:type="continuationSeparator" w:id="1">
    <w:p>
      <w:pPr>
        <w:spacing w:before="0" w:after="0" w:line="355"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1NTg4YjBhNTFiMzY2YzFjZjBiMGQ5MDk2OGU4ZTMifQ=="/>
  </w:docVars>
  <w:rsids>
    <w:rsidRoot w:val="050F0A32"/>
    <w:rsid w:val="00791777"/>
    <w:rsid w:val="009532D9"/>
    <w:rsid w:val="04BA3C48"/>
    <w:rsid w:val="050F0A32"/>
    <w:rsid w:val="05D74D03"/>
    <w:rsid w:val="06FC6655"/>
    <w:rsid w:val="0EB663B5"/>
    <w:rsid w:val="11AB54DD"/>
    <w:rsid w:val="1729105A"/>
    <w:rsid w:val="191664E9"/>
    <w:rsid w:val="1AF70C93"/>
    <w:rsid w:val="1C4A5DFD"/>
    <w:rsid w:val="1C675F8E"/>
    <w:rsid w:val="1F0A0D03"/>
    <w:rsid w:val="24206C52"/>
    <w:rsid w:val="25C74483"/>
    <w:rsid w:val="27210849"/>
    <w:rsid w:val="2818706D"/>
    <w:rsid w:val="2B606D48"/>
    <w:rsid w:val="2D7A2C19"/>
    <w:rsid w:val="30024218"/>
    <w:rsid w:val="3DF7661F"/>
    <w:rsid w:val="3E384317"/>
    <w:rsid w:val="3E475DCA"/>
    <w:rsid w:val="411576D7"/>
    <w:rsid w:val="427E3DA8"/>
    <w:rsid w:val="45FB68C2"/>
    <w:rsid w:val="4C0B6E1B"/>
    <w:rsid w:val="539B15FF"/>
    <w:rsid w:val="5A492D58"/>
    <w:rsid w:val="5CCB384B"/>
    <w:rsid w:val="5D3A54BD"/>
    <w:rsid w:val="642E7954"/>
    <w:rsid w:val="64985276"/>
    <w:rsid w:val="68BD6C92"/>
    <w:rsid w:val="68E62F14"/>
    <w:rsid w:val="69F61238"/>
    <w:rsid w:val="6CF17C17"/>
    <w:rsid w:val="6DA543AA"/>
    <w:rsid w:val="6F214499"/>
    <w:rsid w:val="6FF948EF"/>
    <w:rsid w:val="767B4957"/>
    <w:rsid w:val="776B49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3" w:line="355" w:lineRule="auto"/>
      <w:ind w:left="10" w:hanging="10"/>
    </w:pPr>
    <w:rPr>
      <w:rFonts w:ascii="仿宋_GB2312" w:hAnsi="仿宋_GB2312" w:eastAsia="仿宋_GB2312" w:cs="仿宋_GB2312"/>
      <w:color w:val="000000"/>
      <w:kern w:val="2"/>
      <w:sz w:val="32"/>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潮州市直及下属单位</Company>
  <Pages>2</Pages>
  <Words>175</Words>
  <Characters>998</Characters>
  <Lines>8</Lines>
  <Paragraphs>2</Paragraphs>
  <TotalTime>8</TotalTime>
  <ScaleCrop>false</ScaleCrop>
  <LinksUpToDate>false</LinksUpToDate>
  <CharactersWithSpaces>1171</CharactersWithSpaces>
  <Application>WPS Office_12.1.0.15324_F1E327BC-269C-435d-A152-05C5408002CA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2021-11-27T07:06:00Z</dcterms:created>
  <dc:creator>Administrator</dc:creator>
  <cp:lastModifiedBy>Administrator</cp:lastModifiedBy>
  <dcterms:modified xsi:type="dcterms:W3CDTF">2023-12-07T02:58:14Z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2052-12.1.0.15324</vt:lpwstr>
  </property>
  <property fmtid="{D5CDD505-2E9C-101B-9397-08002B2CF9AE}" pid="3" name="ICV">
    <vt:lpwstr>A2ED06ECB7E243B8806ECC7136E95BBF</vt:lpwstr>
  </property>
</Properties>
</file>