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鲁临狱减建字〔2025〕第50号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刘成斌，男，1974年3月6日出生，汉族，原户籍所在地山东省鱼台县工商银行家属院。因犯故意伤害罪，被山东省济宁市任城区人民法院于2020年12月9日以（2019）鲁0811刑初2058号刑事判决书，判处有期徒刑十三年，刑期自2019年5月25日起至2032年5月24日止。一审判决后，刘成斌不服，提出上诉，山东省济宁市中级人民法院于2021年3月31日作出（2021）鲁08刑终28号刑事裁定书，驳回上诉，维持原判。于2021年5月23日送临沂监狱服刑改造，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服从法院对我的判决，认罪悔罪，深挖自己的犯罪根源，认识到自己的犯罪危害性，给社会造成的危害和影响，给被害人造成的损失和伤害，其罪难赎，向被害人道歉、忏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，但本次报请期间出现四次劳动改造违纪，扣罚33分，经过警察教育后，该犯能够认识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10月份。该犯考核积分4256.6分，获得表扬五次，合格的物质奖励两次。经山东省济宁市任城区人民法院核查，该犯无涉案财产性判项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刘成斌提请减刑九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附:罪犯刘成斌卷宗材料共1卷1册61页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