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鲁临狱减建字〔2025〕第18号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商文华，男，1986年5月29日出生于山东省日照市岚山区，汉族，无业，中专文化，住日照市岚山区中楼镇商家沟村117号。因犯贩卖毒品罪,被山东省日照市东港区人民法院于2021年7月12日以（2021）鲁1102刑初字第441号刑事判决书，判处有期徒刑四年零五个月，并处罚金人民币2万元，追缴违法所得16300元，刑期自2021年7月3日起至2025年12月2日止。于2021年9月22日送监狱服刑改造，服刑期间执行刑期变动情况：无</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我服从日照市人民法院对我的判决，由于我法律意识淡薄，触犯了法律，给社会造成了危害和不良影响，通过入监教育，使我提高了法律意识，真正在思想上服从法院对我的判决，我认罪悔罪”。</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服刑期间，该犯能够服从管理，接受教育改造，遵守法律法规、《监狱服刑人员行为规范》和监规纪律，没有违规违纪情况发生。</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该犯能够接受思想、文化、职业技术教育，遵守课堂纪律，完成学习任务，考试成绩均能达到优良。</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该犯能够积极参加劳动，遵守各项规章制度，保持劳动现场卫生整洁，按时完成各项劳动任务。周期内有3次劳动改造扣分，共扣罚考核分14分。2022年8月2日，该犯产品吊耳未缝住，出现质量问题，被扣罚考核分3分；2023年4月23日，该犯因操作不当，将缝纫线缠绕在缝纫机轴承上，造成缝纫机损坏，被扣罚考核分8分；2023年5月11日，该犯在生产盛驰UMT1000B-P-QS产品吊带时，首件未检验，出现质量问题，被扣罚考核分3分。该犯事后主动承认错误，并保证以后一定按照工艺要求缝制，加强质量管控，提高产品质量。</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到2024年10月份，该犯考核积分4000.6分，获得表扬六次。该犯罚金2万元，追缴违法所得16300元已经全部履行完毕，罚金2万元有发票收据证明和山东省日照市东港区人民法院结案通知书证明；追缴违法所得有发票收据证明和山东省日照市东港区人民法院结案通知书证明，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七十八条、第七十九条，《中华人民共和国刑事诉讼法》第二百七十三条第二款，《中华人民共和国监狱法》第二十九条的规定，建议对罪犯商文华提请减去刑期九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附:罪犯商文华卷宗材料共 1 卷 1 册 66 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