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ind w:leftChars="-209" w:left="-439" w:rightChars="-244" w:right="-512" w:firstLineChars="99" w:firstLine="436"/>
        <w:jc w:val="center"/>
        <w:rPr>
          <w:rFonts w:ascii="方正小标宋简体" w:cs="方正小标宋简体"/>
          <w:sz w:val="44"/>
        </w:rPr>
      </w:pPr>
      <w:r>
        <w:rPr>
          <w:rFonts w:ascii="方正小标宋简体" w:cs="方正小标宋简体" w:hint="eastAsia"/>
          <w:sz w:val="44"/>
        </w:rPr>
        <w:t>提请减刑建议书</w:t>
      </w:r>
    </w:p>
    <w:p>
      <w:pPr>
        <w:snapToGrid w:val="0"/>
        <w:spacing w:line="560" w:lineRule="exact"/>
        <w:ind w:leftChars="-209" w:left="-439" w:rightChars="-244" w:right="-512"/>
        <w:jc w:val="right"/>
        <w:rPr>
          <w:rFonts w:ascii="仿宋_GB2312" w:cs="仿宋_GB2312"/>
          <w:sz w:val="24"/>
        </w:rPr>
      </w:pPr>
    </w:p>
    <w:p>
      <w:pPr>
        <w:snapToGrid w:val="0"/>
        <w:spacing w:line="560" w:lineRule="exact"/>
        <w:ind w:leftChars="-209" w:left="-439" w:rightChars="-244" w:right="-512"/>
        <w:jc w:val="right"/>
        <w:rPr>
          <w:rFonts w:ascii="仿宋_GB2312" w:cs="仿宋_GB2312"/>
          <w:sz w:val="24"/>
        </w:rPr>
      </w:pPr>
      <w:r>
        <w:rPr>
          <w:rFonts w:ascii="仿宋_GB2312" w:cs="仿宋_GB2312" w:hint="eastAsia"/>
          <w:sz w:val="32"/>
        </w:rPr>
        <w:t>鲁临狱减建字〔</w:t>
      </w:r>
      <w:r>
        <w:rPr>
          <w:rFonts w:ascii="仿宋_GB2312" w:cs="仿宋_GB2312" w:hint="eastAsia"/>
          <w:sz w:val="32"/>
        </w:rPr>
        <w:t>2025</w:t>
      </w:r>
      <w:r>
        <w:rPr>
          <w:rFonts w:ascii="仿宋_GB2312" w:cs="仿宋_GB2312" w:hint="eastAsia"/>
          <w:sz w:val="32"/>
        </w:rPr>
        <w:t>〕第</w:t>
      </w:r>
      <w:r>
        <w:rPr>
          <w:rFonts w:ascii="仿宋_GB2312" w:cs="仿宋_GB2312" w:hint="eastAsia"/>
          <w:sz w:val="32"/>
        </w:rPr>
        <w:t>65</w:t>
      </w:r>
      <w:bookmarkStart w:id="0" w:name="_GoBack"/>
      <w:bookmarkEnd w:id="0"/>
      <w:r>
        <w:rPr>
          <w:rFonts w:ascii="仿宋_GB2312" w:cs="仿宋_GB2312" w:hint="eastAsia"/>
          <w:sz w:val="32"/>
        </w:rPr>
        <w:t>号</w:t>
      </w:r>
    </w:p>
    <w:p>
      <w:pPr>
        <w:snapToGrid w:val="0"/>
        <w:spacing w:line="240" w:lineRule="exact"/>
        <w:ind w:leftChars="-209" w:left="-439" w:rightChars="-244" w:right="-512"/>
        <w:jc w:val="right"/>
        <w:rPr>
          <w:rFonts w:ascii="仿宋_GB2312" w:cs="仿宋_GB2312"/>
          <w:sz w:val="24"/>
        </w:rPr>
      </w:pP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罪犯李太华，男，1962年12月28日出生于山东省郯城县，汉族，大学文化，案发前任日照市卫生和计划生育委员会党委书记、主任（正处级），住山东省日照市东港区淄博路123号9号楼2单元301室。山东省日照经济技术开发区人民法院于2018年8月30日</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2018）鲁1191刑初37号刑事判决：一、以罪犯李太华犯受贿罪，判处有期徒刑八年，并处罚金人民币八十万元。二、罪犯李太华受贿所得共计人民币六百四十万零四千六百元依法予以追缴，上缴国库。一审判决后，该犯不服提出上诉。山东省日照市中级人民法院于2019年3月27日</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2018）鲁11刑终144号刑事裁定书：驳回上诉，维持原判。刑期自2018年1月12日起至2026年1月11日止。于2019年4月11日送山东省临沂监狱服刑改造。服刑期间执行刑期变动情况：2022年4月26日经山东省临沂市中级人民法院裁定减刑六个月，现刑期自2018年1月12日起至2025年7月11日止。</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该犯近期悔改表现情况如下：</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自上次减刑以来，能够认罪悔罪，服从判决。其在《认罪悔罪书》中写到：“我能够服从法院对我的判决，认罪悔罪。服刑期间我认真学习法律法规，深刻认识到自己所犯罪行的危害性，并因自己所犯罪行给家人和社会带来的危害深感愧疚，积极改造洗刷罪责，重新做人”。</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服刑期间该犯能够认真遵守法律法规及监规纪律，牢记《监狱服刑人员行为规范》，时刻用规范的标准衡量自己的改造行为，本次报请期间未出现违纪扣罚，改造态度端正，严格遵守监区各项管理规定，表现较好。</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该犯能够接受思想、文化、职业技术教育，遵守课堂纪律，学习态度端正，认真完成学习任务，考试成绩均能达标。</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劳动中，该犯能够遵守各项规章制度，认真参加劳动改造，保持劳动现场卫生整洁，按时完成各项劳动任务。</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该犯系国家工作人员的职务犯罪罪犯，罚金人民币八十万元和受贿所得人民币六百四十万零四千六百元，已经全部履行完毕。山东省日照经济技术开发区人民法院2021年5月26日出具（2021）鲁1191执</w:t>
      </w:r>
      <w:proofErr w:type="gramStart"/>
      <w:r>
        <w:rPr>
          <w:rFonts w:ascii="仿宋_GB2312" w:eastAsia="仿宋_GB2312" w:hAnsi="仿宋_GB2312" w:cs="仿宋_GB2312" w:hint="eastAsia"/>
          <w:sz w:val="32"/>
          <w:szCs w:val="32"/>
        </w:rPr>
        <w:t>恢</w:t>
      </w:r>
      <w:proofErr w:type="gramEnd"/>
      <w:r>
        <w:rPr>
          <w:rFonts w:ascii="仿宋_GB2312" w:eastAsia="仿宋_GB2312" w:hAnsi="仿宋_GB2312" w:cs="仿宋_GB2312" w:hint="eastAsia"/>
          <w:sz w:val="32"/>
          <w:szCs w:val="32"/>
        </w:rPr>
        <w:t>30号结案通知书予以证明，至此，涉案</w:t>
      </w:r>
      <w:proofErr w:type="gramStart"/>
      <w:r>
        <w:rPr>
          <w:rFonts w:ascii="仿宋_GB2312" w:eastAsia="仿宋_GB2312" w:hAnsi="仿宋_GB2312" w:cs="仿宋_GB2312" w:hint="eastAsia"/>
          <w:sz w:val="32"/>
          <w:szCs w:val="32"/>
        </w:rPr>
        <w:t>财产性判项</w:t>
      </w:r>
      <w:proofErr w:type="gramEnd"/>
      <w:r>
        <w:rPr>
          <w:rFonts w:ascii="仿宋_GB2312" w:eastAsia="仿宋_GB2312" w:hAnsi="仿宋_GB2312" w:cs="仿宋_GB2312" w:hint="eastAsia"/>
          <w:sz w:val="32"/>
          <w:szCs w:val="32"/>
        </w:rPr>
        <w:t>已全部履行完毕。</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综上所述，该犯在服刑期间，认罪悔罪，服从管理，遵守监规纪律，接受教育改造，按时参加思想、文化、职业技术学习和各项劳动，完成劳动任务。截止到2024年10月份，该犯考核积分4196.8分，获得表扬奖励六次。该犯系《中华人民共和国刑法修正案 (九)》施行后,依照刑法分则第八章贪污贿赂罪被判处刑罚的原具有国家工作人员身份的罪犯，提请减刑依法从严掌握。此外，该犯能够通过积极退赃，消除犯罪行为所产生的社会影响，综合考察该犯确有悔改表现。</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此，根据《中华人民共和国刑法》第七十八条、第七十九条，《中华人民共和国刑事诉讼法》第二百七十三条第二款，《中华人民共和国监狱法》第二十九条的规定，建议对罪犯李太华予以减去刑期二个月。特提请裁定。</w:t>
      </w:r>
    </w:p>
    <w:p>
      <w:pPr>
        <w:snapToGrid w:val="0"/>
        <w:spacing w:line="260" w:lineRule="auto"/>
        <w:ind w:leftChars="-209" w:left="-439" w:rightChars="-244" w:right="-512" w:firstLineChars="200" w:firstLine="640"/>
        <w:rPr>
          <w:rFonts w:ascii="仿宋_GB2312" w:eastAsia="仿宋_GB2312" w:hAnsi="仿宋_GB2312" w:cs="仿宋_GB2312"/>
          <w:sz w:val="32"/>
          <w:szCs w:val="32"/>
        </w:rPr>
      </w:pPr>
    </w:p>
    <w:p>
      <w:pPr>
        <w:snapToGrid w:val="0"/>
        <w:spacing w:line="260" w:lineRule="auto"/>
        <w:ind w:leftChars="-209" w:left="-439" w:rightChars="-244" w:right="-512" w:firstLineChars="200" w:firstLine="640"/>
        <w:jc w:val="left"/>
        <w:rPr>
          <w:rFonts w:ascii="仿宋_GB2312" w:eastAsia="仿宋_GB2312" w:hAnsi="仿宋_GB2312" w:cs="仿宋_GB2312"/>
          <w:sz w:val="32"/>
        </w:rPr>
      </w:pPr>
      <w:r>
        <w:rPr>
          <w:rFonts w:ascii="仿宋_GB2312" w:eastAsia="仿宋_GB2312" w:hAnsi="仿宋_GB2312" w:cs="仿宋_GB2312" w:hint="eastAsia"/>
          <w:sz w:val="32"/>
        </w:rPr>
        <w:t>此致</w:t>
      </w:r>
    </w:p>
    <w:p>
      <w:pPr>
        <w:spacing w:line="560" w:lineRule="exact"/>
        <w:ind w:leftChars="-209" w:left="-439" w:rightChars="-244" w:right="-512"/>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山东省临沂市中级人民法院</w:t>
      </w:r>
    </w:p>
    <w:p>
      <w:pPr>
        <w:spacing w:line="560" w:lineRule="exact"/>
        <w:jc w:val="left"/>
        <w:rPr>
          <w:rFonts w:ascii="仿宋_GB2312" w:eastAsia="仿宋_GB2312" w:hAnsi="仿宋_GB2312" w:cs="仿宋_GB2312"/>
          <w:sz w:val="32"/>
          <w:szCs w:val="32"/>
        </w:rPr>
      </w:pPr>
    </w:p>
    <w:p>
      <w:pPr>
        <w:snapToGrid w:val="0"/>
        <w:spacing w:line="260" w:lineRule="auto"/>
        <w:ind w:leftChars="-209" w:left="-439" w:rightChars="-244" w:right="-512"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（公 章）</w:t>
      </w:r>
    </w:p>
    <w:p>
      <w:r>
        <w:pict>
          <v:shapetype id="_x0000_t202" coordsize="21600,21600" o:spt="202" path="m,l,21600r21600,l21600,xe">
            <v:stroke joinstyle="miter"/>
            <v:path gradientshapeok="t" o:connecttype="rect"/>
          </v:shapetype>
          <v:shape id="_x0000_s1026" type="#_x0000_t202" style="position:absolute;left:0;text-align:left;margin-left:-21.95pt;margin-top:765.05pt;width:500pt;height:31.65pt;z-index:251658240;mso-position-vertical-relative:page;mso-width-relative:page;mso-height-relative:page" stroked="f">
            <v:textbox>
              <w:txbxContent>
                <w:p>
                  <w:pPr>
                    <w:rPr>
                      <w:rFonts w:ascii="仿宋_GB2312" w:cs="仿宋_GB2312"/>
                      <w:sz w:val="32"/>
                    </w:rPr>
                  </w:pPr>
                  <w:r>
                    <w:rPr>
                      <w:rFonts w:ascii="仿宋_GB2312" w:cs="仿宋_GB2312" w:hint="eastAsia"/>
                      <w:sz w:val="32"/>
                    </w:rPr>
                    <w:t>附</w:t>
                  </w:r>
                  <w:r>
                    <w:rPr>
                      <w:rFonts w:ascii="仿宋_GB2312" w:cs="仿宋_GB2312" w:hint="eastAsia"/>
                      <w:sz w:val="32"/>
                    </w:rPr>
                    <w:t>:</w:t>
                  </w:r>
                  <w:r>
                    <w:rPr>
                      <w:rFonts w:ascii="仿宋_GB2312" w:cs="仿宋_GB2312" w:hint="eastAsia"/>
                      <w:sz w:val="32"/>
                    </w:rPr>
                    <w:t>罪犯李太华卷宗材料共</w:t>
                  </w:r>
                  <w:r>
                    <w:rPr>
                      <w:rFonts w:ascii="仿宋_GB2312" w:cs="仿宋_GB2312" w:hint="eastAsia"/>
                      <w:sz w:val="32"/>
                    </w:rPr>
                    <w:t>1</w:t>
                  </w:r>
                  <w:r>
                    <w:rPr>
                      <w:rFonts w:ascii="仿宋_GB2312" w:cs="仿宋_GB2312" w:hint="eastAsia"/>
                      <w:sz w:val="32"/>
                    </w:rPr>
                    <w:t>卷</w:t>
                  </w:r>
                  <w:r>
                    <w:rPr>
                      <w:rFonts w:ascii="仿宋_GB2312" w:cs="仿宋_GB2312" w:hint="eastAsia"/>
                      <w:sz w:val="32"/>
                    </w:rPr>
                    <w:t>1</w:t>
                  </w:r>
                  <w:r>
                    <w:rPr>
                      <w:rFonts w:ascii="仿宋_GB2312" w:cs="仿宋_GB2312" w:hint="eastAsia"/>
                      <w:sz w:val="32"/>
                    </w:rPr>
                    <w:t>册</w:t>
                  </w:r>
                  <w:r>
                    <w:rPr>
                      <w:rFonts w:ascii="仿宋_GB2312" w:cs="仿宋_GB2312" w:hint="eastAsia"/>
                      <w:sz w:val="32"/>
                    </w:rPr>
                    <w:t>178</w:t>
                  </w:r>
                  <w:r>
                    <w:rPr>
                      <w:rFonts w:ascii="仿宋_GB2312" w:cs="仿宋_GB2312" w:hint="eastAsia"/>
                      <w:sz w:val="32"/>
                    </w:rPr>
                    <w:t>页</w:t>
                  </w:r>
                </w:p>
              </w:txbxContent>
            </v:textbox>
            <w10:wrap anchory="page"/>
          </v:shape>
        </w:pic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YzFkODIxMDRjYjFlYWM4ZjM0MzA0NWUzNWYyYjAifQ=="/>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Pr>
      <w:kern w:val="2"/>
      <w:sz w:val="18"/>
      <w:szCs w:val="18"/>
      <w:lang w:eastAsia="zh-CN"/>
    </w:rPr>
  </w:style>
  <w:style w:type="paragraph" w:styleId="a4">
    <w:name w:val="footer"/>
    <w:basedOn w:val="a"/>
    <w:link w:val="Char0"/>
    <w:pPr>
      <w:tabs>
        <w:tab w:val="center" w:pos="4153"/>
        <w:tab w:val="right" w:pos="8306"/>
      </w:tabs>
      <w:snapToGrid w:val="0"/>
      <w:jc w:val="left"/>
    </w:pPr>
    <w:rPr>
      <w:sz w:val="18"/>
      <w:szCs w:val="18"/>
    </w:rPr>
  </w:style>
  <w:style w:type="character" w:customStyle="1" w:styleId="Char0">
    <w:name w:val="页脚 Char"/>
    <w:basedOn w:val="a0"/>
    <w:link w:val="a4"/>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Pr>
      <w:kern w:val="2"/>
      <w:sz w:val="18"/>
      <w:szCs w:val="18"/>
      <w:lang w:eastAsia="zh-CN"/>
    </w:rPr>
  </w:style>
  <w:style w:type="paragraph" w:styleId="a4">
    <w:name w:val="footer"/>
    <w:basedOn w:val="a"/>
    <w:link w:val="Char0"/>
    <w:pPr>
      <w:tabs>
        <w:tab w:val="center" w:pos="4153"/>
        <w:tab w:val="right" w:pos="8306"/>
      </w:tabs>
      <w:snapToGrid w:val="0"/>
      <w:jc w:val="left"/>
    </w:pPr>
    <w:rPr>
      <w:sz w:val="18"/>
      <w:szCs w:val="18"/>
    </w:rPr>
  </w:style>
  <w:style w:type="character" w:customStyle="1" w:styleId="Char0">
    <w:name w:val="页脚 Char"/>
    <w:basedOn w:val="a0"/>
    <w:link w:val="a4"/>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侯丽</cp:lastModifiedBy>
  <cp:revision>2</cp:revision>
  <dcterms:created xsi:type="dcterms:W3CDTF">2023-08-30T12:17:00Z</dcterms:created>
  <dcterms:modified xsi:type="dcterms:W3CDTF">2025-04-09T06:49:00Z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