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ind w:leftChars="-209" w:left="-439" w:rightChars="-244" w:right="-512" w:firstLineChars="99" w:firstLine="436"/>
        <w:jc w:val="center"/>
        <w:rPr>
          <w:rFonts w:ascii="方正小标宋简体" w:cs="方正小标宋简体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snapToGrid w:val="0"/>
        <w:spacing w:line="56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</w:p>
    <w:p>
      <w:pPr>
        <w:snapToGrid w:val="0"/>
        <w:spacing w:line="56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  <w:r>
        <w:rPr>
          <w:rFonts w:ascii="仿宋_GB2312" w:cs="仿宋_GB2312" w:hint="eastAsia"/>
          <w:sz w:val="32"/>
        </w:rPr>
        <w:t>鲁临狱减建字〔</w:t>
      </w:r>
      <w:r>
        <w:rPr>
          <w:rFonts w:ascii="仿宋_GB2312" w:cs="仿宋_GB2312" w:hint="eastAsia"/>
          <w:sz w:val="32"/>
        </w:rPr>
        <w:t>2025</w:t>
      </w:r>
      <w:r>
        <w:rPr>
          <w:rFonts w:ascii="仿宋_GB2312" w:cs="仿宋_GB2312" w:hint="eastAsia"/>
          <w:sz w:val="32"/>
        </w:rPr>
        <w:t>〕第</w:t>
      </w:r>
      <w:r>
        <w:rPr>
          <w:rFonts w:ascii="仿宋_GB2312" w:cs="仿宋_GB2312" w:hint="eastAsia"/>
          <w:sz w:val="32"/>
        </w:rPr>
        <w:t>67</w:t>
      </w:r>
      <w:bookmarkStart w:id="0" w:name="_GoBack"/>
      <w:bookmarkEnd w:id="0"/>
      <w:r>
        <w:rPr>
          <w:rFonts w:ascii="仿宋_GB2312" w:cs="仿宋_GB2312" w:hint="eastAsia"/>
          <w:sz w:val="32"/>
        </w:rPr>
        <w:t>号</w:t>
      </w:r>
    </w:p>
    <w:p>
      <w:pPr>
        <w:snapToGrid w:val="0"/>
        <w:spacing w:line="240" w:lineRule="exact"/>
        <w:ind w:leftChars="-209" w:left="-439" w:rightChars="-244" w:right="-512"/>
        <w:jc w:val="right"/>
        <w:rPr>
          <w:rFonts w:ascii="仿宋_GB2312" w:cs="仿宋_GB2312"/>
          <w:sz w:val="24"/>
        </w:rPr>
      </w:pP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罪犯马顺，男，1991年2月24日出生于安徽省青阳县，汉族，大专文化程度，无业，住安徽省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池州市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青阳县蓉城镇青山新城十栋104室（户籍所在地安徽省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池州市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青阳县蓉城镇青山村八组19号）。河南省新郑市人民法院于2019年12月27日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（2019）豫0184刑初35号刑事判决书，判决如下：罪犯马顺犯诈骗罪，判处有期徒刑十一年六个月，并处罚金人民币三十万元；犯寻衅滋事罪，判处有期徒刑二年。决定合并执行有期徒刑十二年六个月，并处罚金人民币三十万元。未追回违法所得继续追缴。一审判决宣告后，该犯及同案犯不服，提出上诉，河南省郑州市中级人民法院于2020年5月27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（2020）豫01刑终235号刑事裁定书，驳回上诉，维持原判。刑期自2018年3月25日起至2030年9月24日止。于2020年7月2日送河南省第四监狱服刑改造，2023年7月19日调入山东省临沂监狱服刑改造。服刑期间执行刑期变动情况：无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该犯在服刑期间，确有悔改表现，具体事实如下：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该犯自调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入我狱以来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，能够认罪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服法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服从判决。在其《认罪悔罪书》中写到：“本人能够服从法院对我的判决，能够认罪悔罪，深刻剖析自己的犯罪根源，深刻认识到自己的犯罪给社会造成极大的危害，给被害人造成经济上的损失和心理上的伤害，也给自己家人带来了伤疼。”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该犯近期能够服从管教，严格遵守监规纪律，积极学习遵守《监狱服刑人员行为规范》，切实把规范落实到实际改造表现之中。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在素质教育学习中，该犯能够积极参加思想、技术教育的学习。按时参加课堂学习，无迟到、早退、旷课等现象，能严格遵守学习纪律，尊重老师。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在生产劳动中，该犯能够服从分配，听从安排，能严格遵守操作规程和安全文明生产规定，坚守岗位，较好地完成监区交给的各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项劳动任务。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系涉恶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类罪犯，其亲属于2020年11月20日将罚金30万元全部履行完毕，违法所得已全部追缴，有河南省新郑市人民法院结案通知书证明。至此，该犯财产性判刑已全部履行完毕。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2024年10月份，该犯考核积分5718.1分，获得表扬八次，合格物质奖励一次。该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财产性判项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已全部履行。综合考察该犯确有悔改表现。该犯系恶势力犯罪集团首要分子，减刑依法从严掌握。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马顺予以减去刑期六个月。特提请裁定。</w:t>
      </w: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>
      <w:pPr>
        <w:snapToGrid w:val="0"/>
        <w:spacing w:line="260" w:lineRule="auto"/>
        <w:ind w:leftChars="-209" w:left="-439" w:rightChars="-244" w:right="-512" w:firstLineChars="200" w:firstLine="640"/>
        <w:jc w:val="left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此致</w:t>
      </w:r>
    </w:p>
    <w:p>
      <w:pPr>
        <w:spacing w:line="560" w:lineRule="exact"/>
        <w:ind w:leftChars="-209" w:left="-439" w:rightChars="-244" w:right="-512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山东省临沂市中级人民法院</w:t>
      </w:r>
    </w:p>
    <w:p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>
      <w:pPr>
        <w:snapToGrid w:val="0"/>
        <w:spacing w:line="260" w:lineRule="auto"/>
        <w:ind w:leftChars="-209" w:left="-439" w:rightChars="-244" w:right="-512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95pt;margin-top:765.05pt;width:500pt;height:31.65pt;z-index:251658240;mso-position-vertical-relative:page;mso-width-relative:page;mso-height-relative:page" stroked="f">
            <v:textbox>
              <w:txbxContent>
                <w:p>
                  <w:pPr>
                    <w:rPr>
                      <w:rFonts w:ascii="仿宋_GB2312" w:cs="仿宋_GB2312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</w:t>
                  </w:r>
                  <w:r>
                    <w:rPr>
                      <w:rFonts w:ascii="仿宋_GB2312" w:cs="仿宋_GB2312" w:hint="eastAsia"/>
                      <w:sz w:val="32"/>
                    </w:rPr>
                    <w:t>:</w:t>
                  </w:r>
                  <w:r>
                    <w:rPr>
                      <w:rFonts w:ascii="仿宋_GB2312" w:cs="仿宋_GB2312" w:hint="eastAsia"/>
                      <w:sz w:val="32"/>
                    </w:rPr>
                    <w:t>罪犯马顺卷宗材料共１卷１册</w:t>
                  </w:r>
                  <w:r>
                    <w:rPr>
                      <w:rFonts w:ascii="仿宋_GB2312" w:cs="仿宋_GB2312" w:hint="eastAsia"/>
                      <w:sz w:val="32"/>
                    </w:rPr>
                    <w:t>145</w:t>
                  </w:r>
                  <w:r>
                    <w:rPr>
                      <w:rFonts w:ascii="仿宋_GB2312" w:cs="仿宋_GB2312" w:hint="eastAsia"/>
                      <w:sz w:val="32"/>
                    </w:rPr>
                    <w:t>页</w:t>
                  </w:r>
                </w:p>
              </w:txbxContent>
            </v:textbox>
            <w10:wrap anchory="page"/>
          </v:shape>
        </w:pic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YzFkODIxMDRjYjFlYWM4ZjM0MzA0NWUzNWYyYjA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Pr>
      <w:kern w:val="2"/>
      <w:sz w:val="18"/>
      <w:szCs w:val="18"/>
      <w:lang w:eastAsia="zh-CN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Pr>
      <w:kern w:val="2"/>
      <w:sz w:val="18"/>
      <w:szCs w:val="18"/>
      <w:lang w:eastAsia="zh-CN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侯丽</cp:lastModifiedBy>
  <cp:revision>2</cp:revision>
  <dcterms:created xsi:type="dcterms:W3CDTF">2023-08-30T12:17:00Z</dcterms:created>
  <dcterms:modified xsi:type="dcterms:W3CDTF">2025-04-09T06:49:00Z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