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u w:val="single"/>
          <w:lang w:val="en-US" w:eastAsia="zh-CN"/>
        </w:rPr>
        <w:t xml:space="preserve">          </w:t>
      </w:r>
      <w:r>
        <w:rPr>
          <w:rFonts w:hint="eastAsia" w:ascii="宋体" w:hAnsi="宋体"/>
          <w:b/>
          <w:sz w:val="44"/>
          <w:szCs w:val="44"/>
          <w:lang w:eastAsia="zh-CN"/>
        </w:rPr>
        <w:t>人民法院</w:t>
      </w:r>
      <w:r>
        <w:rPr>
          <w:rFonts w:ascii="宋体" w:hAnsi="宋体"/>
          <w:b/>
          <w:sz w:val="44"/>
          <w:szCs w:val="44"/>
        </w:rPr>
        <w:t>送达地址</w:t>
      </w:r>
      <w:r>
        <w:rPr>
          <w:rFonts w:hint="eastAsia" w:ascii="宋体" w:hAnsi="宋体"/>
          <w:b/>
          <w:sz w:val="44"/>
          <w:szCs w:val="44"/>
          <w:lang w:eastAsia="zh-CN"/>
        </w:rPr>
        <w:t>变更</w:t>
      </w:r>
      <w:r>
        <w:rPr>
          <w:rFonts w:ascii="宋体" w:hAnsi="宋体"/>
          <w:b/>
          <w:sz w:val="44"/>
          <w:szCs w:val="44"/>
        </w:rPr>
        <w:t>确认书</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33"/>
        <w:gridCol w:w="1134"/>
        <w:gridCol w:w="1276"/>
        <w:gridCol w:w="142"/>
        <w:gridCol w:w="500"/>
        <w:gridCol w:w="3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61" w:type="dxa"/>
            <w:vAlign w:val="top"/>
          </w:tcPr>
          <w:p>
            <w:pPr>
              <w:jc w:val="center"/>
              <w:rPr>
                <w:rFonts w:ascii="仿宋" w:hAnsi="仿宋" w:eastAsia="仿宋"/>
                <w:b/>
                <w:sz w:val="30"/>
                <w:szCs w:val="30"/>
              </w:rPr>
            </w:pPr>
            <w:r>
              <w:rPr>
                <w:rFonts w:ascii="仿宋" w:hAnsi="仿宋" w:eastAsia="仿宋"/>
                <w:b/>
                <w:sz w:val="30"/>
                <w:szCs w:val="30"/>
              </w:rPr>
              <w:t>案号</w:t>
            </w:r>
          </w:p>
        </w:tc>
        <w:tc>
          <w:tcPr>
            <w:tcW w:w="7970" w:type="dxa"/>
            <w:gridSpan w:val="7"/>
            <w:vAlign w:val="top"/>
          </w:tcPr>
          <w:p>
            <w:pPr>
              <w:jc w:val="center"/>
              <w:rPr>
                <w:rFonts w:ascii="宋体" w:hAnsi="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61" w:type="dxa"/>
            <w:vAlign w:val="top"/>
          </w:tcPr>
          <w:p>
            <w:pPr>
              <w:jc w:val="center"/>
              <w:rPr>
                <w:rFonts w:ascii="仿宋" w:hAnsi="仿宋" w:eastAsia="仿宋"/>
                <w:b/>
                <w:sz w:val="30"/>
                <w:szCs w:val="30"/>
              </w:rPr>
            </w:pPr>
            <w:r>
              <w:rPr>
                <w:rFonts w:ascii="仿宋" w:hAnsi="仿宋" w:eastAsia="仿宋"/>
                <w:b/>
                <w:sz w:val="30"/>
                <w:szCs w:val="30"/>
              </w:rPr>
              <w:t>案由</w:t>
            </w:r>
          </w:p>
        </w:tc>
        <w:tc>
          <w:tcPr>
            <w:tcW w:w="7970" w:type="dxa"/>
            <w:gridSpan w:val="7"/>
            <w:vAlign w:val="top"/>
          </w:tcPr>
          <w:p>
            <w:pPr>
              <w:jc w:val="center"/>
              <w:rPr>
                <w:rFonts w:ascii="宋体" w:hAnsi="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961" w:type="dxa"/>
            <w:vAlign w:val="top"/>
          </w:tcPr>
          <w:p>
            <w:pPr>
              <w:jc w:val="center"/>
              <w:rPr>
                <w:rFonts w:hint="eastAsia" w:ascii="仿宋" w:hAnsi="仿宋" w:eastAsia="仿宋"/>
                <w:b/>
                <w:sz w:val="30"/>
                <w:szCs w:val="30"/>
              </w:rPr>
            </w:pPr>
          </w:p>
          <w:p>
            <w:pPr>
              <w:jc w:val="center"/>
              <w:rPr>
                <w:rFonts w:ascii="仿宋" w:hAnsi="仿宋" w:eastAsia="仿宋"/>
                <w:b/>
                <w:sz w:val="30"/>
                <w:szCs w:val="30"/>
              </w:rPr>
            </w:pPr>
            <w:r>
              <w:rPr>
                <w:rFonts w:ascii="仿宋" w:hAnsi="仿宋" w:eastAsia="仿宋"/>
                <w:b/>
                <w:sz w:val="30"/>
                <w:szCs w:val="30"/>
              </w:rPr>
              <w:t>告知事项</w:t>
            </w:r>
          </w:p>
        </w:tc>
        <w:tc>
          <w:tcPr>
            <w:tcW w:w="7970" w:type="dxa"/>
            <w:gridSpan w:val="7"/>
            <w:vAlign w:val="top"/>
          </w:tcPr>
          <w:p>
            <w:pPr>
              <w:pStyle w:val="5"/>
              <w:numPr>
                <w:ilvl w:val="0"/>
                <w:numId w:val="1"/>
              </w:numPr>
              <w:ind w:firstLineChars="0"/>
              <w:jc w:val="left"/>
              <w:rPr>
                <w:rFonts w:hint="eastAsia" w:ascii="仿宋" w:hAnsi="仿宋" w:eastAsia="仿宋"/>
                <w:sz w:val="24"/>
                <w:szCs w:val="24"/>
              </w:rPr>
            </w:pPr>
            <w:r>
              <w:rPr>
                <w:rFonts w:hint="eastAsia" w:ascii="仿宋" w:hAnsi="仿宋" w:eastAsia="仿宋"/>
                <w:sz w:val="24"/>
                <w:szCs w:val="24"/>
              </w:rPr>
              <w:t>为便于当事人及时收到人民法院诉讼文书，保证诉讼程序顺利进行，当事人应当如实提供确切的送达地址。</w:t>
            </w:r>
          </w:p>
          <w:p>
            <w:pPr>
              <w:pStyle w:val="5"/>
              <w:numPr>
                <w:ilvl w:val="0"/>
                <w:numId w:val="1"/>
              </w:numPr>
              <w:ind w:firstLineChars="0"/>
              <w:jc w:val="left"/>
              <w:rPr>
                <w:rFonts w:hint="eastAsia" w:ascii="仿宋" w:hAnsi="仿宋" w:eastAsia="仿宋"/>
                <w:sz w:val="24"/>
                <w:szCs w:val="24"/>
              </w:rPr>
            </w:pPr>
            <w:r>
              <w:rPr>
                <w:rFonts w:hint="eastAsia" w:ascii="仿宋" w:hAnsi="仿宋" w:eastAsia="仿宋"/>
                <w:sz w:val="24"/>
                <w:szCs w:val="24"/>
              </w:rPr>
              <w:t>如果提供的地址不确切，或不及时告知变更后的地址，使诉讼文书无法送达或未及时送达，当事人将自行承担由此可能产生的法律后果。</w:t>
            </w:r>
          </w:p>
          <w:p>
            <w:pPr>
              <w:pStyle w:val="5"/>
              <w:numPr>
                <w:ilvl w:val="0"/>
                <w:numId w:val="1"/>
              </w:numPr>
              <w:ind w:firstLineChars="0"/>
              <w:jc w:val="left"/>
              <w:rPr>
                <w:rFonts w:hint="eastAsia" w:ascii="仿宋" w:hAnsi="仿宋" w:eastAsia="仿宋"/>
                <w:sz w:val="24"/>
                <w:szCs w:val="24"/>
              </w:rPr>
            </w:pPr>
            <w:r>
              <w:rPr>
                <w:rFonts w:hint="eastAsia" w:ascii="仿宋" w:hAnsi="仿宋" w:eastAsia="仿宋"/>
                <w:sz w:val="24"/>
                <w:szCs w:val="24"/>
              </w:rPr>
              <w:t>为提高送达效率，法院可以采用传真、电子邮件、短信、微信等方式送达诉讼文书。以发送方设备显示发送成功视为送达。</w:t>
            </w:r>
          </w:p>
          <w:p>
            <w:pPr>
              <w:pStyle w:val="5"/>
              <w:numPr>
                <w:ilvl w:val="0"/>
                <w:numId w:val="1"/>
              </w:numPr>
              <w:ind w:firstLineChars="0"/>
              <w:jc w:val="left"/>
              <w:rPr>
                <w:rFonts w:hint="eastAsia" w:ascii="仿宋" w:hAnsi="仿宋" w:eastAsia="仿宋"/>
                <w:sz w:val="24"/>
                <w:szCs w:val="24"/>
              </w:rPr>
            </w:pPr>
            <w:r>
              <w:rPr>
                <w:rFonts w:hint="eastAsia" w:ascii="仿宋" w:hAnsi="仿宋" w:eastAsia="仿宋"/>
                <w:sz w:val="24"/>
                <w:szCs w:val="24"/>
              </w:rPr>
              <w:t>确认的送达地址适用于一审、二审、再审审查、再审、执行程序。如果送达地址有变更，应当及时书面告知人民法院变更后的送达地址。</w:t>
            </w:r>
          </w:p>
          <w:p>
            <w:pPr>
              <w:pStyle w:val="5"/>
              <w:numPr>
                <w:ilvl w:val="0"/>
                <w:numId w:val="1"/>
              </w:numPr>
              <w:ind w:firstLineChars="0"/>
              <w:jc w:val="left"/>
              <w:rPr>
                <w:rFonts w:ascii="仿宋" w:hAnsi="仿宋" w:eastAsia="仿宋"/>
                <w:sz w:val="24"/>
                <w:szCs w:val="24"/>
              </w:rPr>
            </w:pPr>
            <w:r>
              <w:rPr>
                <w:rFonts w:hint="eastAsia" w:ascii="仿宋" w:hAnsi="仿宋" w:eastAsia="仿宋"/>
                <w:sz w:val="24"/>
                <w:szCs w:val="24"/>
              </w:rPr>
              <w:t>有关送达的法律规定，见本确认书后页。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61" w:type="dxa"/>
            <w:vMerge w:val="restart"/>
            <w:vAlign w:val="top"/>
          </w:tcPr>
          <w:p>
            <w:pPr>
              <w:jc w:val="center"/>
              <w:rPr>
                <w:rFonts w:hint="eastAsia" w:ascii="仿宋" w:hAnsi="仿宋" w:eastAsia="仿宋"/>
                <w:b/>
                <w:sz w:val="30"/>
                <w:szCs w:val="30"/>
              </w:rPr>
            </w:pPr>
          </w:p>
          <w:p>
            <w:pPr>
              <w:jc w:val="center"/>
              <w:rPr>
                <w:rFonts w:ascii="仿宋" w:hAnsi="仿宋" w:eastAsia="仿宋"/>
                <w:b/>
                <w:sz w:val="30"/>
                <w:szCs w:val="30"/>
              </w:rPr>
            </w:pPr>
            <w:r>
              <w:rPr>
                <w:rFonts w:ascii="仿宋" w:hAnsi="仿宋" w:eastAsia="仿宋"/>
                <w:b/>
                <w:sz w:val="30"/>
                <w:szCs w:val="30"/>
              </w:rPr>
              <w:t>送达地址及方式</w:t>
            </w:r>
          </w:p>
        </w:tc>
        <w:tc>
          <w:tcPr>
            <w:tcW w:w="1733" w:type="dxa"/>
            <w:vAlign w:val="center"/>
          </w:tcPr>
          <w:p>
            <w:pPr>
              <w:jc w:val="left"/>
              <w:rPr>
                <w:rFonts w:ascii="仿宋" w:hAnsi="仿宋" w:eastAsia="仿宋"/>
                <w:b/>
                <w:sz w:val="30"/>
                <w:szCs w:val="30"/>
              </w:rPr>
            </w:pPr>
            <w:r>
              <w:rPr>
                <w:rFonts w:hint="eastAsia" w:ascii="仿宋" w:hAnsi="仿宋" w:eastAsia="仿宋"/>
                <w:sz w:val="24"/>
                <w:szCs w:val="24"/>
              </w:rPr>
              <w:t>受送达人</w:t>
            </w:r>
          </w:p>
        </w:tc>
        <w:tc>
          <w:tcPr>
            <w:tcW w:w="6237" w:type="dxa"/>
            <w:gridSpan w:val="6"/>
            <w:vAlign w:val="center"/>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61" w:type="dxa"/>
            <w:vMerge w:val="continue"/>
            <w:vAlign w:val="top"/>
          </w:tcPr>
          <w:p>
            <w:pPr>
              <w:jc w:val="center"/>
              <w:rPr>
                <w:rFonts w:hint="eastAsia" w:ascii="仿宋" w:hAnsi="仿宋" w:eastAsia="仿宋"/>
                <w:b/>
                <w:sz w:val="30"/>
                <w:szCs w:val="30"/>
              </w:rPr>
            </w:pPr>
          </w:p>
        </w:tc>
        <w:tc>
          <w:tcPr>
            <w:tcW w:w="1733" w:type="dxa"/>
            <w:vAlign w:val="center"/>
          </w:tcPr>
          <w:p>
            <w:pPr>
              <w:jc w:val="left"/>
              <w:rPr>
                <w:rFonts w:hint="eastAsia" w:ascii="仿宋" w:hAnsi="仿宋" w:eastAsia="仿宋"/>
                <w:sz w:val="24"/>
                <w:szCs w:val="24"/>
              </w:rPr>
            </w:pPr>
            <w:r>
              <w:rPr>
                <w:rFonts w:hint="eastAsia" w:ascii="仿宋" w:hAnsi="仿宋" w:eastAsia="仿宋"/>
                <w:sz w:val="24"/>
                <w:szCs w:val="24"/>
              </w:rPr>
              <w:t>指定签收人</w:t>
            </w:r>
          </w:p>
        </w:tc>
        <w:tc>
          <w:tcPr>
            <w:tcW w:w="6237" w:type="dxa"/>
            <w:gridSpan w:val="6"/>
            <w:vAlign w:val="center"/>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61" w:type="dxa"/>
            <w:vMerge w:val="continue"/>
            <w:vAlign w:val="top"/>
          </w:tcPr>
          <w:p>
            <w:pPr>
              <w:jc w:val="center"/>
              <w:rPr>
                <w:rFonts w:ascii="仿宋" w:hAnsi="仿宋" w:eastAsia="仿宋"/>
                <w:b/>
                <w:sz w:val="30"/>
                <w:szCs w:val="30"/>
              </w:rPr>
            </w:pPr>
          </w:p>
        </w:tc>
        <w:tc>
          <w:tcPr>
            <w:tcW w:w="1733" w:type="dxa"/>
            <w:vAlign w:val="center"/>
          </w:tcPr>
          <w:p>
            <w:pPr>
              <w:jc w:val="left"/>
              <w:rPr>
                <w:rFonts w:ascii="仿宋" w:hAnsi="仿宋" w:eastAsia="仿宋"/>
                <w:b/>
                <w:sz w:val="30"/>
                <w:szCs w:val="30"/>
              </w:rPr>
            </w:pPr>
            <w:r>
              <w:rPr>
                <w:rFonts w:ascii="仿宋" w:hAnsi="仿宋" w:eastAsia="仿宋"/>
                <w:sz w:val="24"/>
                <w:szCs w:val="24"/>
              </w:rPr>
              <w:t>证件类型</w:t>
            </w:r>
          </w:p>
        </w:tc>
        <w:tc>
          <w:tcPr>
            <w:tcW w:w="1134" w:type="dxa"/>
            <w:vAlign w:val="center"/>
          </w:tcPr>
          <w:p>
            <w:pPr>
              <w:jc w:val="left"/>
              <w:rPr>
                <w:rFonts w:ascii="仿宋" w:hAnsi="仿宋" w:eastAsia="仿宋"/>
                <w:b/>
                <w:sz w:val="30"/>
                <w:szCs w:val="30"/>
              </w:rPr>
            </w:pPr>
          </w:p>
        </w:tc>
        <w:tc>
          <w:tcPr>
            <w:tcW w:w="1276" w:type="dxa"/>
            <w:vAlign w:val="center"/>
          </w:tcPr>
          <w:p>
            <w:pPr>
              <w:jc w:val="left"/>
              <w:rPr>
                <w:rFonts w:ascii="仿宋" w:hAnsi="仿宋" w:eastAsia="仿宋"/>
                <w:b/>
                <w:sz w:val="30"/>
                <w:szCs w:val="30"/>
              </w:rPr>
            </w:pPr>
            <w:r>
              <w:rPr>
                <w:rFonts w:ascii="仿宋" w:hAnsi="仿宋" w:eastAsia="仿宋"/>
                <w:sz w:val="24"/>
                <w:szCs w:val="24"/>
              </w:rPr>
              <w:t>证件号码</w:t>
            </w:r>
          </w:p>
        </w:tc>
        <w:tc>
          <w:tcPr>
            <w:tcW w:w="3827" w:type="dxa"/>
            <w:gridSpan w:val="4"/>
            <w:vAlign w:val="center"/>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61" w:type="dxa"/>
            <w:vMerge w:val="continue"/>
            <w:vAlign w:val="top"/>
          </w:tcPr>
          <w:p>
            <w:pPr>
              <w:jc w:val="center"/>
              <w:rPr>
                <w:rFonts w:ascii="仿宋" w:hAnsi="仿宋" w:eastAsia="仿宋"/>
                <w:b/>
                <w:sz w:val="30"/>
                <w:szCs w:val="30"/>
              </w:rPr>
            </w:pPr>
          </w:p>
        </w:tc>
        <w:tc>
          <w:tcPr>
            <w:tcW w:w="1733" w:type="dxa"/>
            <w:tcBorders>
              <w:bottom w:val="single" w:color="auto" w:sz="4" w:space="0"/>
            </w:tcBorders>
            <w:vAlign w:val="center"/>
          </w:tcPr>
          <w:p>
            <w:pPr>
              <w:jc w:val="left"/>
              <w:rPr>
                <w:rFonts w:ascii="仿宋" w:hAnsi="仿宋" w:eastAsia="仿宋"/>
                <w:b/>
                <w:sz w:val="30"/>
                <w:szCs w:val="30"/>
              </w:rPr>
            </w:pPr>
            <w:r>
              <w:rPr>
                <w:rFonts w:ascii="仿宋" w:hAnsi="仿宋" w:eastAsia="仿宋"/>
                <w:sz w:val="24"/>
                <w:szCs w:val="24"/>
              </w:rPr>
              <w:t>确认送达地址</w:t>
            </w:r>
          </w:p>
        </w:tc>
        <w:tc>
          <w:tcPr>
            <w:tcW w:w="6237" w:type="dxa"/>
            <w:gridSpan w:val="6"/>
            <w:vAlign w:val="center"/>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61" w:type="dxa"/>
            <w:vMerge w:val="continue"/>
            <w:tcBorders>
              <w:right w:val="single" w:color="auto" w:sz="4" w:space="0"/>
            </w:tcBorders>
            <w:vAlign w:val="top"/>
          </w:tcPr>
          <w:p>
            <w:pPr>
              <w:jc w:val="center"/>
              <w:rPr>
                <w:rFonts w:ascii="仿宋" w:hAnsi="仿宋" w:eastAsia="仿宋"/>
                <w:b/>
                <w:sz w:val="30"/>
                <w:szCs w:val="30"/>
              </w:rPr>
            </w:pP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szCs w:val="24"/>
              </w:rPr>
            </w:pPr>
            <w:r>
              <w:rPr>
                <w:rFonts w:ascii="仿宋" w:hAnsi="仿宋" w:eastAsia="仿宋"/>
                <w:sz w:val="24"/>
                <w:szCs w:val="24"/>
              </w:rPr>
              <w:t>是否接受</w:t>
            </w:r>
          </w:p>
          <w:p>
            <w:pPr>
              <w:jc w:val="left"/>
              <w:rPr>
                <w:rFonts w:ascii="仿宋" w:hAnsi="仿宋" w:eastAsia="仿宋"/>
                <w:b/>
                <w:sz w:val="30"/>
                <w:szCs w:val="30"/>
              </w:rPr>
            </w:pPr>
            <w:r>
              <w:rPr>
                <w:rFonts w:ascii="仿宋" w:hAnsi="仿宋" w:eastAsia="仿宋"/>
                <w:sz w:val="24"/>
                <w:szCs w:val="24"/>
              </w:rPr>
              <w:t>电子送达</w:t>
            </w:r>
          </w:p>
        </w:tc>
        <w:tc>
          <w:tcPr>
            <w:tcW w:w="6237" w:type="dxa"/>
            <w:gridSpan w:val="6"/>
            <w:tcBorders>
              <w:left w:val="single" w:color="auto" w:sz="4" w:space="0"/>
              <w:bottom w:val="single" w:color="auto" w:sz="4" w:space="0"/>
            </w:tcBorders>
            <w:vAlign w:val="center"/>
          </w:tcPr>
          <w:p>
            <w:pPr>
              <w:jc w:val="left"/>
              <w:rPr>
                <w:rFonts w:hint="eastAsia" w:ascii="仿宋" w:hAnsi="仿宋" w:eastAsia="仿宋"/>
                <w:sz w:val="24"/>
                <w:szCs w:val="24"/>
              </w:rPr>
            </w:pPr>
            <w:r>
              <w:rPr>
                <w:rFonts w:ascii="仿宋" w:hAnsi="仿宋" w:eastAsia="仿宋"/>
                <w:sz w:val="24"/>
                <w:szCs w:val="24"/>
              </w:rPr>
              <w:t>□是</w:t>
            </w:r>
            <w:r>
              <w:rPr>
                <w:rFonts w:hint="eastAsia" w:ascii="仿宋" w:hAnsi="仿宋" w:eastAsia="仿宋"/>
                <w:sz w:val="24"/>
                <w:szCs w:val="24"/>
              </w:rPr>
              <w:t xml:space="preserve">  </w:t>
            </w:r>
            <w:r>
              <w:rPr>
                <w:rFonts w:ascii="仿宋" w:hAnsi="仿宋" w:eastAsia="仿宋"/>
                <w:sz w:val="24"/>
                <w:szCs w:val="24"/>
              </w:rPr>
              <w:t>□否</w:t>
            </w:r>
          </w:p>
          <w:p>
            <w:pPr>
              <w:jc w:val="left"/>
              <w:rPr>
                <w:rFonts w:hint="eastAsia" w:ascii="仿宋" w:hAnsi="仿宋" w:eastAsia="仿宋"/>
                <w:sz w:val="24"/>
                <w:szCs w:val="24"/>
              </w:rPr>
            </w:pPr>
            <w:r>
              <w:rPr>
                <w:rFonts w:ascii="仿宋" w:hAnsi="仿宋" w:eastAsia="仿宋"/>
                <w:sz w:val="24"/>
                <w:szCs w:val="24"/>
              </w:rPr>
              <w:t>□手机号码</w:t>
            </w:r>
            <w:r>
              <w:rPr>
                <w:rFonts w:hint="eastAsia" w:ascii="仿宋" w:hAnsi="仿宋" w:eastAsia="仿宋"/>
                <w:sz w:val="24"/>
                <w:szCs w:val="24"/>
              </w:rPr>
              <w:t>：　　　　　</w:t>
            </w:r>
            <w:r>
              <w:rPr>
                <w:rFonts w:ascii="仿宋" w:hAnsi="仿宋" w:eastAsia="仿宋"/>
                <w:sz w:val="24"/>
                <w:szCs w:val="24"/>
              </w:rPr>
              <w:t>□</w:t>
            </w:r>
            <w:r>
              <w:rPr>
                <w:rFonts w:hint="eastAsia" w:ascii="仿宋" w:hAnsi="仿宋" w:eastAsia="仿宋"/>
                <w:sz w:val="24"/>
                <w:szCs w:val="24"/>
              </w:rPr>
              <w:t>微信号：</w:t>
            </w:r>
          </w:p>
          <w:p>
            <w:pPr>
              <w:jc w:val="left"/>
              <w:rPr>
                <w:rFonts w:ascii="仿宋" w:hAnsi="仿宋" w:eastAsia="仿宋"/>
                <w:sz w:val="24"/>
                <w:szCs w:val="24"/>
              </w:rPr>
            </w:pPr>
            <w:r>
              <w:rPr>
                <w:rFonts w:ascii="仿宋" w:hAnsi="仿宋" w:eastAsia="仿宋"/>
                <w:sz w:val="24"/>
                <w:szCs w:val="24"/>
              </w:rPr>
              <w:t>□传真号码</w:t>
            </w:r>
            <w:r>
              <w:rPr>
                <w:rFonts w:hint="eastAsia" w:ascii="仿宋" w:hAnsi="仿宋" w:eastAsia="仿宋"/>
                <w:sz w:val="24"/>
                <w:szCs w:val="24"/>
              </w:rPr>
              <w:t>：　　　　　</w:t>
            </w:r>
            <w:r>
              <w:rPr>
                <w:rFonts w:ascii="仿宋" w:hAnsi="仿宋" w:eastAsia="仿宋"/>
                <w:sz w:val="24"/>
                <w:szCs w:val="24"/>
              </w:rPr>
              <w:t>□电子邮件地址</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1" w:type="dxa"/>
            <w:vMerge w:val="continue"/>
            <w:vAlign w:val="top"/>
          </w:tcPr>
          <w:p>
            <w:pPr>
              <w:jc w:val="center"/>
              <w:rPr>
                <w:rFonts w:ascii="仿宋" w:hAnsi="仿宋" w:eastAsia="仿宋"/>
                <w:b/>
                <w:sz w:val="30"/>
                <w:szCs w:val="30"/>
              </w:rPr>
            </w:pPr>
          </w:p>
        </w:tc>
        <w:tc>
          <w:tcPr>
            <w:tcW w:w="4785" w:type="dxa"/>
            <w:gridSpan w:val="5"/>
            <w:tcBorders>
              <w:top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是否同意电子送达判决书、调解书、裁定书</w:t>
            </w:r>
          </w:p>
        </w:tc>
        <w:tc>
          <w:tcPr>
            <w:tcW w:w="3185" w:type="dxa"/>
            <w:gridSpan w:val="2"/>
            <w:tcBorders>
              <w:top w:val="single" w:color="auto" w:sz="4" w:space="0"/>
            </w:tcBorders>
            <w:vAlign w:val="center"/>
          </w:tcPr>
          <w:p>
            <w:pPr>
              <w:jc w:val="left"/>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 xml:space="preserve">  　　　</w:t>
            </w:r>
            <w:r>
              <w:rPr>
                <w:rFonts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61" w:type="dxa"/>
            <w:vMerge w:val="continue"/>
            <w:vAlign w:val="top"/>
          </w:tcPr>
          <w:p>
            <w:pPr>
              <w:jc w:val="center"/>
              <w:rPr>
                <w:rFonts w:ascii="仿宋" w:hAnsi="仿宋" w:eastAsia="仿宋"/>
                <w:b/>
                <w:sz w:val="30"/>
                <w:szCs w:val="30"/>
              </w:rPr>
            </w:pPr>
          </w:p>
        </w:tc>
        <w:tc>
          <w:tcPr>
            <w:tcW w:w="1733" w:type="dxa"/>
            <w:vAlign w:val="center"/>
          </w:tcPr>
          <w:p>
            <w:pPr>
              <w:jc w:val="left"/>
              <w:rPr>
                <w:rFonts w:ascii="仿宋" w:hAnsi="仿宋" w:eastAsia="仿宋"/>
                <w:b/>
                <w:sz w:val="30"/>
                <w:szCs w:val="30"/>
              </w:rPr>
            </w:pPr>
            <w:r>
              <w:rPr>
                <w:rFonts w:ascii="仿宋" w:hAnsi="仿宋" w:eastAsia="仿宋"/>
                <w:sz w:val="24"/>
                <w:szCs w:val="24"/>
              </w:rPr>
              <w:t>手机号码</w:t>
            </w:r>
          </w:p>
        </w:tc>
        <w:tc>
          <w:tcPr>
            <w:tcW w:w="2552" w:type="dxa"/>
            <w:gridSpan w:val="3"/>
            <w:vAlign w:val="center"/>
          </w:tcPr>
          <w:p>
            <w:pPr>
              <w:jc w:val="left"/>
              <w:rPr>
                <w:rFonts w:ascii="仿宋" w:hAnsi="仿宋" w:eastAsia="仿宋"/>
                <w:b/>
                <w:sz w:val="30"/>
                <w:szCs w:val="30"/>
              </w:rPr>
            </w:pPr>
          </w:p>
        </w:tc>
        <w:tc>
          <w:tcPr>
            <w:tcW w:w="850" w:type="dxa"/>
            <w:gridSpan w:val="2"/>
            <w:vAlign w:val="center"/>
          </w:tcPr>
          <w:p>
            <w:pPr>
              <w:jc w:val="left"/>
              <w:rPr>
                <w:rFonts w:ascii="仿宋" w:hAnsi="仿宋" w:eastAsia="仿宋"/>
                <w:b/>
                <w:sz w:val="30"/>
                <w:szCs w:val="30"/>
              </w:rPr>
            </w:pPr>
            <w:r>
              <w:rPr>
                <w:rFonts w:ascii="仿宋" w:hAnsi="仿宋" w:eastAsia="仿宋"/>
                <w:sz w:val="24"/>
                <w:szCs w:val="24"/>
              </w:rPr>
              <w:t>邮编</w:t>
            </w:r>
          </w:p>
        </w:tc>
        <w:tc>
          <w:tcPr>
            <w:tcW w:w="2835" w:type="dxa"/>
            <w:vAlign w:val="center"/>
          </w:tcPr>
          <w:p>
            <w:pPr>
              <w:jc w:val="left"/>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61" w:type="dxa"/>
            <w:vMerge w:val="continue"/>
            <w:vAlign w:val="top"/>
          </w:tcPr>
          <w:p>
            <w:pPr>
              <w:jc w:val="center"/>
              <w:rPr>
                <w:rFonts w:ascii="仿宋" w:hAnsi="仿宋" w:eastAsia="仿宋"/>
                <w:b/>
                <w:sz w:val="30"/>
                <w:szCs w:val="30"/>
              </w:rPr>
            </w:pPr>
          </w:p>
        </w:tc>
        <w:tc>
          <w:tcPr>
            <w:tcW w:w="1733" w:type="dxa"/>
            <w:vAlign w:val="center"/>
          </w:tcPr>
          <w:p>
            <w:pPr>
              <w:jc w:val="left"/>
              <w:rPr>
                <w:rFonts w:ascii="仿宋" w:hAnsi="仿宋" w:eastAsia="仿宋"/>
                <w:b/>
                <w:sz w:val="30"/>
                <w:szCs w:val="30"/>
              </w:rPr>
            </w:pPr>
            <w:r>
              <w:rPr>
                <w:rFonts w:ascii="仿宋" w:hAnsi="仿宋" w:eastAsia="仿宋"/>
                <w:sz w:val="24"/>
                <w:szCs w:val="24"/>
              </w:rPr>
              <w:t>其他联系方式</w:t>
            </w:r>
          </w:p>
        </w:tc>
        <w:tc>
          <w:tcPr>
            <w:tcW w:w="6237" w:type="dxa"/>
            <w:gridSpan w:val="6"/>
            <w:vAlign w:val="center"/>
          </w:tcPr>
          <w:p>
            <w:pPr>
              <w:jc w:val="lef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961" w:type="dxa"/>
            <w:vAlign w:val="top"/>
          </w:tcPr>
          <w:p>
            <w:pPr>
              <w:jc w:val="center"/>
              <w:rPr>
                <w:rFonts w:ascii="仿宋" w:hAnsi="仿宋" w:eastAsia="仿宋"/>
                <w:b/>
                <w:sz w:val="30"/>
                <w:szCs w:val="30"/>
              </w:rPr>
            </w:pPr>
            <w:r>
              <w:rPr>
                <w:rFonts w:ascii="仿宋" w:hAnsi="仿宋" w:eastAsia="仿宋"/>
                <w:b/>
                <w:sz w:val="30"/>
                <w:szCs w:val="30"/>
              </w:rPr>
              <w:t>受送达人确认</w:t>
            </w:r>
          </w:p>
        </w:tc>
        <w:tc>
          <w:tcPr>
            <w:tcW w:w="7970" w:type="dxa"/>
            <w:gridSpan w:val="7"/>
            <w:vAlign w:val="top"/>
          </w:tcPr>
          <w:p>
            <w:pPr>
              <w:ind w:firstLine="480" w:firstLineChars="200"/>
              <w:jc w:val="left"/>
              <w:rPr>
                <w:rFonts w:hint="eastAsia" w:ascii="仿宋" w:hAnsi="仿宋" w:eastAsia="仿宋"/>
                <w:sz w:val="24"/>
                <w:szCs w:val="24"/>
              </w:rPr>
            </w:pPr>
            <w:r>
              <w:rPr>
                <w:rFonts w:ascii="仿宋" w:hAnsi="仿宋" w:eastAsia="仿宋"/>
                <w:sz w:val="24"/>
                <w:szCs w:val="24"/>
              </w:rPr>
              <w:t>我已阅读</w:t>
            </w:r>
            <w:r>
              <w:rPr>
                <w:rFonts w:hint="eastAsia" w:ascii="仿宋" w:hAnsi="仿宋" w:eastAsia="仿宋"/>
                <w:sz w:val="24"/>
                <w:szCs w:val="24"/>
              </w:rPr>
              <w:t>（听明白）本确认书的告知事项，提供了上栏送达地址，确认了上栏送达方式，并保证所提供的送达地址各项内容是正确的、有效的。如在诉讼过程中送达地址发生变化，将及时通知法院。未及时告知人民法院的，按上述地址送达即发生法律效力。</w:t>
            </w:r>
          </w:p>
          <w:p>
            <w:pPr>
              <w:ind w:firstLine="2880" w:firstLineChars="1200"/>
              <w:jc w:val="left"/>
              <w:rPr>
                <w:rFonts w:hint="eastAsia" w:ascii="仿宋" w:hAnsi="仿宋" w:eastAsia="仿宋"/>
                <w:sz w:val="24"/>
                <w:szCs w:val="24"/>
              </w:rPr>
            </w:pPr>
            <w:r>
              <w:rPr>
                <w:rFonts w:hint="eastAsia" w:ascii="仿宋" w:hAnsi="仿宋" w:eastAsia="仿宋"/>
                <w:sz w:val="24"/>
                <w:szCs w:val="24"/>
              </w:rPr>
              <w:t xml:space="preserve">受送达人： </w:t>
            </w:r>
          </w:p>
          <w:p>
            <w:pPr>
              <w:ind w:firstLine="480" w:firstLineChars="200"/>
              <w:jc w:val="right"/>
              <w:rPr>
                <w:rFonts w:hint="eastAsia" w:ascii="仿宋" w:hAnsi="仿宋" w:eastAsia="仿宋"/>
                <w:sz w:val="24"/>
                <w:szCs w:val="24"/>
              </w:rPr>
            </w:pPr>
            <w:r>
              <w:rPr>
                <w:rFonts w:hint="eastAsia" w:ascii="仿宋" w:hAnsi="仿宋" w:eastAsia="仿宋"/>
                <w:sz w:val="24"/>
                <w:szCs w:val="24"/>
              </w:rPr>
              <w:t>（签名或者盖章）</w:t>
            </w:r>
          </w:p>
          <w:p>
            <w:pPr>
              <w:wordWrap w:val="0"/>
              <w:ind w:firstLine="480" w:firstLineChars="200"/>
              <w:jc w:val="right"/>
              <w:rPr>
                <w:rFonts w:ascii="仿宋" w:hAnsi="仿宋" w:eastAsia="仿宋"/>
                <w:b/>
                <w:sz w:val="30"/>
                <w:szCs w:val="30"/>
              </w:rPr>
            </w:pPr>
            <w:r>
              <w:rPr>
                <w:rFonts w:hint="eastAsia" w:ascii="仿宋" w:hAnsi="仿宋" w:eastAsia="仿宋"/>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61" w:type="dxa"/>
            <w:vAlign w:val="top"/>
          </w:tcPr>
          <w:p>
            <w:pPr>
              <w:jc w:val="center"/>
              <w:rPr>
                <w:rFonts w:ascii="仿宋" w:hAnsi="仿宋" w:eastAsia="仿宋"/>
                <w:b/>
                <w:sz w:val="30"/>
                <w:szCs w:val="30"/>
              </w:rPr>
            </w:pPr>
            <w:r>
              <w:rPr>
                <w:rFonts w:ascii="仿宋" w:hAnsi="仿宋" w:eastAsia="仿宋"/>
                <w:b/>
                <w:sz w:val="30"/>
                <w:szCs w:val="30"/>
              </w:rPr>
              <w:t>备注</w:t>
            </w:r>
          </w:p>
        </w:tc>
        <w:tc>
          <w:tcPr>
            <w:tcW w:w="7970" w:type="dxa"/>
            <w:gridSpan w:val="7"/>
            <w:vAlign w:val="top"/>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61" w:type="dxa"/>
            <w:vAlign w:val="top"/>
          </w:tcPr>
          <w:p>
            <w:pPr>
              <w:jc w:val="center"/>
              <w:rPr>
                <w:rFonts w:ascii="仿宋" w:hAnsi="仿宋" w:eastAsia="仿宋"/>
                <w:b/>
                <w:sz w:val="24"/>
                <w:szCs w:val="24"/>
              </w:rPr>
            </w:pPr>
            <w:r>
              <w:rPr>
                <w:rFonts w:ascii="仿宋" w:hAnsi="仿宋" w:eastAsia="仿宋"/>
                <w:b/>
                <w:sz w:val="24"/>
                <w:szCs w:val="24"/>
              </w:rPr>
              <w:t>法院工作人员签名</w:t>
            </w:r>
          </w:p>
        </w:tc>
        <w:tc>
          <w:tcPr>
            <w:tcW w:w="7970" w:type="dxa"/>
            <w:gridSpan w:val="7"/>
            <w:vAlign w:val="top"/>
          </w:tcPr>
          <w:p>
            <w:pPr>
              <w:jc w:val="center"/>
              <w:rPr>
                <w:rFonts w:ascii="仿宋" w:hAnsi="仿宋" w:eastAsia="仿宋"/>
                <w:b/>
                <w:sz w:val="30"/>
                <w:szCs w:val="30"/>
              </w:rPr>
            </w:pPr>
          </w:p>
        </w:tc>
      </w:tr>
    </w:tbl>
    <w:p>
      <w:pPr>
        <w:jc w:val="center"/>
        <w:rPr>
          <w:rFonts w:hint="eastAsia" w:ascii="仿宋" w:hAnsi="仿宋" w:eastAsia="仿宋"/>
          <w:sz w:val="24"/>
          <w:szCs w:val="24"/>
        </w:rPr>
      </w:pPr>
      <w:r>
        <w:rPr>
          <w:rFonts w:ascii="仿宋" w:hAnsi="仿宋" w:eastAsia="仿宋"/>
          <w:sz w:val="24"/>
          <w:szCs w:val="24"/>
        </w:rPr>
        <w:t>收到后请于一周内填妥寄回</w:t>
      </w:r>
      <w:r>
        <w:rPr>
          <w:rFonts w:hint="eastAsia" w:ascii="仿宋" w:hAnsi="仿宋" w:eastAsia="仿宋"/>
          <w:sz w:val="24"/>
          <w:szCs w:val="24"/>
          <w:u w:val="single"/>
          <w:lang w:val="en-US" w:eastAsia="zh-CN"/>
        </w:rPr>
        <w:t xml:space="preserve">             </w:t>
      </w:r>
      <w:r>
        <w:rPr>
          <w:rFonts w:ascii="仿宋" w:hAnsi="仿宋" w:eastAsia="仿宋"/>
          <w:sz w:val="24"/>
          <w:szCs w:val="24"/>
        </w:rPr>
        <w:t>人民法院</w:t>
      </w:r>
    </w:p>
    <w:p>
      <w:pPr>
        <w:jc w:val="center"/>
        <w:rPr>
          <w:rFonts w:hint="eastAsia" w:ascii="仿宋" w:hAnsi="仿宋" w:eastAsia="仿宋"/>
          <w:sz w:val="24"/>
          <w:szCs w:val="24"/>
        </w:rPr>
      </w:pPr>
      <w:r>
        <w:rPr>
          <w:sz w:val="32"/>
          <w:szCs w:val="32"/>
        </w:rPr>
        <w:t>送达地址有关事项告知书</w:t>
      </w:r>
    </w:p>
    <w:p>
      <w:pPr>
        <w:ind w:firstLine="480" w:firstLineChars="200"/>
        <w:jc w:val="left"/>
        <w:rPr>
          <w:rFonts w:hint="eastAsia" w:ascii="仿宋" w:hAnsi="仿宋" w:eastAsia="仿宋"/>
          <w:sz w:val="24"/>
          <w:szCs w:val="24"/>
        </w:rPr>
      </w:pPr>
      <w:r>
        <w:rPr>
          <w:rFonts w:hint="eastAsia" w:ascii="仿宋" w:hAnsi="仿宋" w:eastAsia="仿宋"/>
          <w:sz w:val="24"/>
          <w:szCs w:val="24"/>
        </w:rPr>
        <w:t>根据《中华人民共和国民事诉讼法》《最高人民法院关于适用&lt;中华人民共和国民事诉讼法&gt;的解释》《最高人民法院关于以法院专递方式邮寄送达民事诉讼文书的若干规定》等，现将送达地址及送达方式有关事项告知如下：</w:t>
      </w:r>
    </w:p>
    <w:p>
      <w:pPr>
        <w:ind w:firstLine="480" w:firstLineChars="200"/>
        <w:jc w:val="left"/>
        <w:rPr>
          <w:rFonts w:hint="eastAsia" w:ascii="仿宋" w:hAnsi="仿宋" w:eastAsia="仿宋"/>
          <w:sz w:val="24"/>
          <w:szCs w:val="24"/>
        </w:rPr>
      </w:pPr>
      <w:r>
        <w:rPr>
          <w:rFonts w:hint="eastAsia" w:ascii="仿宋" w:hAnsi="仿宋" w:eastAsia="仿宋"/>
          <w:sz w:val="24"/>
          <w:szCs w:val="24"/>
        </w:rPr>
        <w:t>一、法院专递的适用范围</w:t>
      </w:r>
    </w:p>
    <w:p>
      <w:pPr>
        <w:ind w:firstLine="480" w:firstLineChars="200"/>
        <w:jc w:val="left"/>
        <w:rPr>
          <w:rFonts w:hint="eastAsia" w:ascii="仿宋" w:hAnsi="仿宋" w:eastAsia="仿宋"/>
          <w:sz w:val="24"/>
          <w:szCs w:val="24"/>
        </w:rPr>
      </w:pPr>
      <w:r>
        <w:rPr>
          <w:rFonts w:ascii="仿宋" w:hAnsi="仿宋" w:eastAsia="仿宋"/>
          <w:sz w:val="24"/>
          <w:szCs w:val="24"/>
        </w:rPr>
        <w:t>人民法院直接送达诉讼文书有困难的</w:t>
      </w:r>
      <w:r>
        <w:rPr>
          <w:rFonts w:hint="eastAsia" w:ascii="仿宋" w:hAnsi="仿宋" w:eastAsia="仿宋"/>
          <w:sz w:val="24"/>
          <w:szCs w:val="24"/>
        </w:rPr>
        <w:t>，</w:t>
      </w:r>
      <w:r>
        <w:rPr>
          <w:rFonts w:ascii="仿宋" w:hAnsi="仿宋" w:eastAsia="仿宋"/>
          <w:sz w:val="24"/>
          <w:szCs w:val="24"/>
        </w:rPr>
        <w:t>可以交由国家邮政机构</w:t>
      </w:r>
      <w:r>
        <w:rPr>
          <w:rFonts w:hint="eastAsia" w:ascii="仿宋" w:hAnsi="仿宋" w:eastAsia="仿宋"/>
          <w:sz w:val="24"/>
          <w:szCs w:val="24"/>
        </w:rPr>
        <w:t>（以下简称邮政机构）以法院专递方式邮寄送达，但有下列情形之一的除外：</w:t>
      </w:r>
    </w:p>
    <w:p>
      <w:pPr>
        <w:ind w:left="720"/>
        <w:jc w:val="left"/>
        <w:rPr>
          <w:rFonts w:hint="eastAsia" w:ascii="仿宋" w:hAnsi="仿宋" w:eastAsia="仿宋"/>
          <w:sz w:val="24"/>
          <w:szCs w:val="24"/>
        </w:rPr>
      </w:pPr>
      <w:r>
        <w:rPr>
          <w:rFonts w:hint="eastAsia" w:ascii="仿宋" w:hAnsi="仿宋" w:eastAsia="仿宋"/>
          <w:sz w:val="24"/>
          <w:szCs w:val="24"/>
        </w:rPr>
        <w:t>1、受送达人或者其诉讼代理人、受送达人指定的代收人同意在指定的期间到人民法院接受送达的；</w:t>
      </w:r>
    </w:p>
    <w:p>
      <w:pPr>
        <w:ind w:firstLine="720" w:firstLineChars="300"/>
        <w:jc w:val="left"/>
        <w:rPr>
          <w:rFonts w:hint="eastAsia" w:ascii="仿宋" w:hAnsi="仿宋" w:eastAsia="仿宋"/>
          <w:sz w:val="24"/>
          <w:szCs w:val="24"/>
        </w:rPr>
      </w:pPr>
      <w:r>
        <w:rPr>
          <w:rFonts w:hint="eastAsia" w:ascii="仿宋" w:hAnsi="仿宋" w:eastAsia="仿宋"/>
          <w:sz w:val="24"/>
          <w:szCs w:val="24"/>
        </w:rPr>
        <w:t>2、受送达人下落不明的；</w:t>
      </w:r>
    </w:p>
    <w:p>
      <w:pPr>
        <w:ind w:left="720"/>
        <w:jc w:val="left"/>
        <w:rPr>
          <w:rFonts w:hint="eastAsia" w:ascii="仿宋" w:hAnsi="仿宋" w:eastAsia="仿宋"/>
          <w:sz w:val="24"/>
          <w:szCs w:val="24"/>
        </w:rPr>
      </w:pPr>
      <w:r>
        <w:rPr>
          <w:rFonts w:hint="eastAsia" w:ascii="仿宋" w:hAnsi="仿宋" w:eastAsia="仿宋"/>
          <w:sz w:val="24"/>
          <w:szCs w:val="24"/>
        </w:rPr>
        <w:t>3、法律规定或者我国缔结或者参加的国际条约中约定有特别送达方式的。</w:t>
      </w:r>
    </w:p>
    <w:p>
      <w:pPr>
        <w:ind w:firstLine="480" w:firstLineChars="200"/>
        <w:jc w:val="left"/>
        <w:rPr>
          <w:rFonts w:hint="eastAsia" w:ascii="仿宋" w:hAnsi="仿宋" w:eastAsia="仿宋"/>
          <w:sz w:val="24"/>
          <w:szCs w:val="24"/>
        </w:rPr>
      </w:pPr>
      <w:r>
        <w:rPr>
          <w:rFonts w:hint="eastAsia" w:ascii="仿宋" w:hAnsi="仿宋" w:eastAsia="仿宋"/>
          <w:sz w:val="24"/>
          <w:szCs w:val="24"/>
        </w:rPr>
        <w:t>二、法院专递的法律效力</w:t>
      </w:r>
    </w:p>
    <w:p>
      <w:pPr>
        <w:ind w:firstLine="480" w:firstLineChars="200"/>
        <w:jc w:val="left"/>
        <w:rPr>
          <w:rFonts w:hint="eastAsia" w:ascii="仿宋" w:hAnsi="仿宋" w:eastAsia="仿宋"/>
          <w:sz w:val="24"/>
          <w:szCs w:val="24"/>
        </w:rPr>
      </w:pPr>
      <w:r>
        <w:rPr>
          <w:rFonts w:hint="eastAsia" w:ascii="仿宋" w:hAnsi="仿宋" w:eastAsia="仿宋"/>
          <w:sz w:val="24"/>
          <w:szCs w:val="24"/>
        </w:rPr>
        <w:t>以法院专递方式邮寄送达民事诉讼文书的，其送达与人民法院送达具有同等法律效力。</w:t>
      </w:r>
    </w:p>
    <w:p>
      <w:pPr>
        <w:ind w:firstLine="480" w:firstLineChars="200"/>
        <w:jc w:val="left"/>
        <w:rPr>
          <w:rFonts w:hint="eastAsia" w:ascii="仿宋" w:hAnsi="仿宋" w:eastAsia="仿宋"/>
          <w:sz w:val="24"/>
          <w:szCs w:val="24"/>
        </w:rPr>
      </w:pPr>
      <w:r>
        <w:rPr>
          <w:rFonts w:hint="eastAsia" w:ascii="仿宋" w:hAnsi="仿宋" w:eastAsia="仿宋"/>
          <w:sz w:val="24"/>
          <w:szCs w:val="24"/>
        </w:rPr>
        <w:t>三、电子送达的适用范围</w:t>
      </w:r>
    </w:p>
    <w:p>
      <w:pPr>
        <w:ind w:firstLine="480" w:firstLineChars="200"/>
        <w:jc w:val="left"/>
        <w:rPr>
          <w:rFonts w:hint="eastAsia" w:ascii="仿宋" w:hAnsi="仿宋" w:eastAsia="仿宋"/>
          <w:sz w:val="24"/>
          <w:szCs w:val="24"/>
        </w:rPr>
      </w:pPr>
      <w:r>
        <w:rPr>
          <w:rFonts w:hint="eastAsia" w:ascii="仿宋" w:hAnsi="仿宋" w:eastAsia="仿宋"/>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pPr>
        <w:ind w:firstLine="480" w:firstLineChars="200"/>
        <w:jc w:val="left"/>
        <w:rPr>
          <w:rFonts w:hint="eastAsia" w:ascii="仿宋" w:hAnsi="仿宋" w:eastAsia="仿宋"/>
          <w:sz w:val="24"/>
          <w:szCs w:val="24"/>
        </w:rPr>
      </w:pPr>
      <w:r>
        <w:rPr>
          <w:rFonts w:hint="eastAsia" w:ascii="仿宋" w:hAnsi="仿宋" w:eastAsia="仿宋"/>
          <w:sz w:val="24"/>
          <w:szCs w:val="24"/>
        </w:rPr>
        <w:t>四、电子送达的法律效力</w:t>
      </w:r>
    </w:p>
    <w:p>
      <w:pPr>
        <w:ind w:firstLine="480" w:firstLineChars="200"/>
        <w:jc w:val="left"/>
        <w:rPr>
          <w:rFonts w:hint="eastAsia" w:ascii="仿宋" w:hAnsi="仿宋" w:eastAsia="仿宋"/>
          <w:sz w:val="24"/>
          <w:szCs w:val="24"/>
        </w:rPr>
      </w:pPr>
      <w:r>
        <w:rPr>
          <w:rFonts w:hint="eastAsia" w:ascii="仿宋" w:hAnsi="仿宋" w:eastAsia="仿宋"/>
          <w:sz w:val="24"/>
          <w:szCs w:val="24"/>
        </w:rPr>
        <w:t>以法院电子送达方式送达诉讼文书的，其送达与人民法院送达具有同等法律效力。</w:t>
      </w:r>
    </w:p>
    <w:p>
      <w:pPr>
        <w:ind w:firstLine="480" w:firstLineChars="200"/>
        <w:jc w:val="left"/>
        <w:rPr>
          <w:rFonts w:hint="eastAsia" w:ascii="仿宋" w:hAnsi="仿宋" w:eastAsia="仿宋"/>
          <w:sz w:val="24"/>
          <w:szCs w:val="24"/>
        </w:rPr>
      </w:pPr>
      <w:r>
        <w:rPr>
          <w:rFonts w:hint="eastAsia" w:ascii="仿宋" w:hAnsi="仿宋" w:eastAsia="仿宋"/>
          <w:sz w:val="24"/>
          <w:szCs w:val="24"/>
        </w:rPr>
        <w:t>五、电子送达的使用说明</w:t>
      </w:r>
    </w:p>
    <w:p>
      <w:pPr>
        <w:ind w:firstLine="480" w:firstLineChars="200"/>
        <w:jc w:val="left"/>
        <w:rPr>
          <w:rFonts w:hint="eastAsia" w:ascii="仿宋" w:hAnsi="仿宋" w:eastAsia="仿宋"/>
          <w:sz w:val="24"/>
          <w:szCs w:val="24"/>
        </w:rPr>
      </w:pPr>
      <w:r>
        <w:rPr>
          <w:rFonts w:hint="eastAsia" w:ascii="仿宋" w:hAnsi="仿宋" w:eastAsia="仿宋"/>
          <w:sz w:val="24"/>
          <w:szCs w:val="24"/>
        </w:rPr>
        <w:t>如受送达人同意接受电子送达，需向本院提供手机号码，该手机号码将用于接收法院以短息形式发送的电子送达诉讼文书签名码。签名码为身份确认码，受送达人可以凭立案时预留的证件号和签名码签收电子诉讼文书。</w:t>
      </w:r>
    </w:p>
    <w:p>
      <w:pPr>
        <w:ind w:firstLine="480" w:firstLineChars="200"/>
        <w:jc w:val="left"/>
        <w:rPr>
          <w:rFonts w:hint="eastAsia" w:ascii="仿宋" w:hAnsi="仿宋" w:eastAsia="仿宋"/>
          <w:sz w:val="24"/>
          <w:szCs w:val="24"/>
        </w:rPr>
      </w:pPr>
      <w:r>
        <w:rPr>
          <w:rFonts w:hint="eastAsia" w:ascii="仿宋" w:hAnsi="仿宋" w:eastAsia="仿宋"/>
          <w:sz w:val="24"/>
          <w:szCs w:val="24"/>
        </w:rPr>
        <w:t>为方便受送达人接受送达，本院提供互联网和手机APP终端推送电子诉讼文书服务。受送达人可通过中国审判流程信息公开网或者手机APP终端项下的“文书签收”栏目签收电子送达的诉讼文书。</w:t>
      </w:r>
    </w:p>
    <w:p>
      <w:pPr>
        <w:ind w:firstLine="480" w:firstLineChars="200"/>
        <w:jc w:val="left"/>
        <w:rPr>
          <w:rFonts w:hint="eastAsia" w:ascii="仿宋" w:hAnsi="仿宋" w:eastAsia="仿宋"/>
          <w:sz w:val="24"/>
          <w:szCs w:val="24"/>
        </w:rPr>
      </w:pPr>
      <w:r>
        <w:rPr>
          <w:rFonts w:hint="eastAsia" w:ascii="仿宋" w:hAnsi="仿宋" w:eastAsia="仿宋"/>
          <w:sz w:val="24"/>
          <w:szCs w:val="24"/>
        </w:rPr>
        <w:t>六、送达地址的提供或者确认</w:t>
      </w:r>
    </w:p>
    <w:p>
      <w:pPr>
        <w:ind w:firstLine="480" w:firstLineChars="200"/>
        <w:jc w:val="left"/>
        <w:rPr>
          <w:rFonts w:hint="eastAsia" w:ascii="仿宋" w:hAnsi="仿宋" w:eastAsia="仿宋"/>
          <w:sz w:val="24"/>
          <w:szCs w:val="24"/>
        </w:rPr>
      </w:pPr>
      <w:r>
        <w:rPr>
          <w:rFonts w:hint="eastAsia" w:ascii="仿宋" w:hAnsi="仿宋" w:eastAsia="仿宋"/>
          <w:sz w:val="24"/>
          <w:szCs w:val="24"/>
        </w:rPr>
        <w:t>当事人起诉或者答辩时应当向人民法院提供或者确认自己准确的送达地址，并填写送达地址、送达方式确认书。当事人拒绝提供的，人民法院应该告知其拒不提供送达地址的不利后果，并记入笔录。</w:t>
      </w:r>
    </w:p>
    <w:p>
      <w:pPr>
        <w:ind w:firstLine="480" w:firstLineChars="200"/>
        <w:jc w:val="left"/>
        <w:rPr>
          <w:rFonts w:hint="eastAsia" w:ascii="仿宋" w:hAnsi="仿宋" w:eastAsia="仿宋"/>
          <w:sz w:val="24"/>
          <w:szCs w:val="24"/>
        </w:rPr>
      </w:pPr>
      <w:r>
        <w:rPr>
          <w:rFonts w:hint="eastAsia" w:ascii="仿宋" w:hAnsi="仿宋" w:eastAsia="仿宋"/>
          <w:sz w:val="24"/>
          <w:szCs w:val="24"/>
        </w:rPr>
        <w:t>七、送达地址的推定</w:t>
      </w:r>
    </w:p>
    <w:p>
      <w:pPr>
        <w:ind w:firstLine="480" w:firstLineChars="200"/>
        <w:jc w:val="left"/>
        <w:rPr>
          <w:rFonts w:hint="eastAsia" w:ascii="仿宋" w:hAnsi="仿宋" w:eastAsia="仿宋"/>
          <w:sz w:val="24"/>
          <w:szCs w:val="24"/>
        </w:rPr>
      </w:pPr>
      <w:r>
        <w:rPr>
          <w:rFonts w:hint="eastAsia" w:ascii="仿宋" w:hAnsi="仿宋" w:eastAsia="仿宋"/>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pPr>
        <w:ind w:firstLine="480" w:firstLineChars="200"/>
        <w:jc w:val="left"/>
        <w:rPr>
          <w:rFonts w:hint="eastAsia" w:ascii="仿宋" w:hAnsi="仿宋" w:eastAsia="仿宋"/>
          <w:sz w:val="24"/>
          <w:szCs w:val="24"/>
        </w:rPr>
      </w:pPr>
      <w:r>
        <w:rPr>
          <w:rFonts w:hint="eastAsia" w:ascii="仿宋" w:hAnsi="仿宋" w:eastAsia="仿宋"/>
          <w:sz w:val="24"/>
          <w:szCs w:val="24"/>
        </w:rPr>
        <w:t>八、法律后果及其除外条件</w:t>
      </w:r>
    </w:p>
    <w:p>
      <w:pPr>
        <w:ind w:firstLine="480" w:firstLineChars="200"/>
        <w:jc w:val="left"/>
        <w:rPr>
          <w:rFonts w:hint="eastAsia" w:ascii="仿宋" w:hAnsi="仿宋" w:eastAsia="仿宋"/>
          <w:sz w:val="24"/>
          <w:szCs w:val="24"/>
        </w:rPr>
      </w:pPr>
      <w:r>
        <w:rPr>
          <w:rFonts w:hint="eastAsia" w:ascii="仿宋" w:hAnsi="仿宋" w:eastAsia="仿宋"/>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pPr>
        <w:ind w:firstLine="480" w:firstLineChars="200"/>
        <w:jc w:val="left"/>
        <w:rPr>
          <w:rFonts w:ascii="仿宋" w:hAnsi="仿宋" w:eastAsia="仿宋"/>
          <w:sz w:val="24"/>
          <w:szCs w:val="24"/>
        </w:rPr>
      </w:pPr>
      <w:r>
        <w:rPr>
          <w:rFonts w:hint="eastAsia" w:ascii="仿宋" w:hAnsi="仿宋" w:eastAsia="仿宋"/>
          <w:sz w:val="24"/>
          <w:szCs w:val="24"/>
        </w:rPr>
        <w:t>受送达人能够证明自己在诉讼文书送达的过程中没有过错的，不适用前款规定。</w:t>
      </w:r>
    </w:p>
    <w:p>
      <w:bookmarkStart w:id="0" w:name="_GoBack"/>
      <w:bookmarkEnd w:id="0"/>
    </w:p>
    <w:sectPr>
      <w:headerReference r:id="rId3" w:type="default"/>
      <w:pgSz w:w="11906" w:h="16838"/>
      <w:pgMar w:top="1418" w:right="1644" w:bottom="113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1160D"/>
    <w:multiLevelType w:val="multilevel"/>
    <w:tmpl w:val="53F116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074EA"/>
    <w:rsid w:val="1630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2020-04-21T02:23:00Z</dcterms:created>
  <dc:creator>NTKO</dc:creator>
  <cp:lastModifiedBy>NTKO</cp:lastModifiedBy>
  <dcterms:modified xsi:type="dcterms:W3CDTF">2020-04-21T02:24:06Z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